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400"/>
      </w:pPr>
      <w:r>
        <w:rPr>
          <w:rFonts w:ascii="Arial" w:cs="Arial" w:eastAsia="Arial" w:hAnsi="Arial"/>
          <w:b w:val="false"/>
          <w:bCs w:val="false"/>
          <w:color w:val="2C3E50"/>
          <w:sz w:val="20"/>
          <w:szCs w:val="20"/>
        </w:rPr>
        <w:t xml:space="preserve"/>
      </w:r>
    </w:p>
    <w:p>
      <w:pPr>
        <w:spacing w:after="30" w:before="200"/>
        <w:jc w:val="center"/>
      </w:pPr>
      <w:r>
        <w:rPr>
          <w:rFonts w:ascii="Arial" w:cs="Arial" w:eastAsia="Arial" w:hAnsi="Arial"/>
          <w:b/>
          <w:bCs/>
          <w:color w:val="0C1E3A"/>
          <w:sz w:val="58"/>
          <w:szCs w:val="58"/>
        </w:rPr>
        <w:t xml:space="preserve">INSTITUT BIA</w:t>
      </w:r>
    </w:p>
    <w:p>
      <w:pPr>
        <w:spacing w:after="260" w:before="0"/>
        <w:jc w:val="center"/>
      </w:pPr>
      <w:r>
        <w:rPr>
          <w:rFonts w:ascii="Arial" w:cs="Arial" w:eastAsia="Arial" w:hAnsi="Arial"/>
          <w:b w:val="false"/>
          <w:bCs w:val="false"/>
          <w:color w:val="C9A84C"/>
          <w:sz w:val="22"/>
          <w:szCs w:val="22"/>
        </w:rPr>
        <w:t xml:space="preserve">Bâtir · Innover · Accomplir</w:t>
      </w:r>
    </w:p>
    <w:p>
      <w:pPr>
        <w:shd w:fill="0C1E3A" w:val="clear"/>
        <w:spacing w:after="0" w:before="0"/>
        <w:ind w:left="300" w:right="300"/>
        <w:jc w:val="center"/>
      </w:pPr>
      <w:r>
        <w:rPr>
          <w:rFonts w:ascii="Arial" w:cs="Arial" w:eastAsia="Arial" w:hAnsi="Arial"/>
          <w:b/>
          <w:bCs/>
          <w:color w:val="FFFFFF"/>
          <w:sz w:val="38"/>
          <w:szCs w:val="38"/>
        </w:rPr>
        <w:t xml:space="preserve">PROGRAMME PÉDAGOGIQUE</w:t>
      </w:r>
    </w:p>
    <w:p>
      <w:pPr>
        <w:shd w:fill="0C1E3A" w:val="clear"/>
        <w:spacing w:after="0" w:before="0"/>
        <w:ind w:left="300" w:right="300"/>
        <w:jc w:val="center"/>
      </w:pPr>
      <w:r>
        <w:rPr>
          <w:rFonts w:ascii="Arial" w:cs="Arial" w:eastAsia="Arial" w:hAnsi="Arial"/>
          <w:b/>
          <w:bCs/>
          <w:color w:val="C9A84C"/>
          <w:sz w:val="24"/>
          <w:szCs w:val="24"/>
        </w:rPr>
        <w:t xml:space="preserve">Titre Professionnel Négociateur Technico-Commercial</w:t>
      </w:r>
    </w:p>
    <w:p>
      <w:pPr>
        <w:shd w:fill="0C1E3A" w:val="clear"/>
        <w:spacing w:after="120" w:before="0"/>
        <w:ind w:left="300" w:right="300"/>
        <w:jc w:val="center"/>
      </w:pPr>
      <w:r>
        <w:rPr>
          <w:rFonts w:ascii="Arial" w:cs="Arial" w:eastAsia="Arial" w:hAnsi="Arial"/>
          <w:b w:val="false"/>
          <w:bCs w:val="false"/>
          <w:color w:val="3AADA0"/>
          <w:sz w:val="18"/>
          <w:szCs w:val="18"/>
        </w:rPr>
        <w:t xml:space="preserve">RNCP39063 – Niveau 5 – 100 % Présentiel – 1 jour CFA / 4 jours entreprise</w:t>
      </w:r>
    </w:p>
    <w:p>
      <w:pPr>
        <w:spacing w:after="60" w:before="60"/>
      </w:pPr>
      <w:r>
        <w:rPr>
          <w:rFonts w:ascii="Arial" w:cs="Arial" w:eastAsia="Arial" w:hAnsi="Arial"/>
          <w:b w:val="false"/>
          <w:bCs w:val="false"/>
          <w:color w:val="2C3E50"/>
          <w:sz w:val="20"/>
          <w:szCs w:val="20"/>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Code RNCP</w:t>
            </w:r>
          </w:p>
        </w:tc>
        <w:tc>
          <w:tcPr>
            <w:tcW w:type="dxa" w:w="5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RNCP39063 – Niveau 5 (équivalent BTS)</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Certificateur</w:t>
            </w:r>
          </w:p>
        </w:tc>
        <w:tc>
          <w:tcPr>
            <w:tcW w:type="dxa" w:w="58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Ministère du Travail, de la Santé et des Solidarités</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Référentiel</w:t>
            </w:r>
          </w:p>
        </w:tc>
        <w:tc>
          <w:tcPr>
            <w:tcW w:type="dxa" w:w="5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RE TP-00338 – Millésime 07 – Arrêté du 30/04/2024 – JO 16/05/2024</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Volume horaire</w:t>
            </w:r>
          </w:p>
        </w:tc>
        <w:tc>
          <w:tcPr>
            <w:tcW w:type="dxa" w:w="58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490 heures de formation en centre</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Rythme</w:t>
            </w:r>
          </w:p>
        </w:tc>
        <w:tc>
          <w:tcPr>
            <w:tcW w:type="dxa" w:w="5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1 jour CFA (lundi) / 4 jours entreprise (mardi–vendredi)</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Modalité</w:t>
            </w:r>
          </w:p>
        </w:tc>
        <w:tc>
          <w:tcPr>
            <w:tcW w:type="dxa" w:w="58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100 % Présentiel – Institut BIA – Saint-Denis (93)</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Période en entreprise</w:t>
            </w:r>
          </w:p>
        </w:tc>
        <w:tc>
          <w:tcPr>
            <w:tcW w:type="dxa" w:w="5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350 heures minimum (titre complet) / 175 heures (par CCP)</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Financement OPCO</w:t>
            </w:r>
          </w:p>
        </w:tc>
        <w:tc>
          <w:tcPr>
            <w:tcW w:type="dxa" w:w="58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AKTO / ATLAS – NPEC : 8 000 €/apprenti/an</w:t>
            </w:r>
          </w:p>
        </w:tc>
      </w:tr>
      <w:tr>
        <w:tc>
          <w:tcPr>
            <w:tcW w:type="dxa" w:w="3200"/>
            <w:tcBorders>
              <w:top w:val="single" w:color="CCCCCC" w:sz="1"/>
              <w:left w:val="single" w:color="CCCCCC" w:sz="1"/>
              <w:bottom w:val="single" w:color="CCCCCC" w:sz="1"/>
              <w:right w:val="single" w:color="CCCCCC" w:sz="1"/>
            </w:tcBorders>
            <w:shd w:fill="E4E9F2"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2 CCP (Blocs)</w:t>
            </w:r>
          </w:p>
        </w:tc>
        <w:tc>
          <w:tcPr>
            <w:tcW w:type="dxa" w:w="5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8"/>
                <w:szCs w:val="18"/>
              </w:rPr>
              <w:t xml:space="preserve">CCP1 – Élaborer une stratégie de prospection et la mettre en œuvre
CCP2 – Négocier une solution technique et commerciale et consolider l'expérience client</w:t>
            </w:r>
          </w:p>
        </w:tc>
      </w:tr>
    </w:tbl>
    <w:p>
      <w:pPr>
        <w:spacing w:after="180" w:before="180"/>
      </w:pPr>
      <w:r>
        <w:rPr>
          <w:rFonts w:ascii="Arial" w:cs="Arial" w:eastAsia="Arial" w:hAnsi="Arial"/>
          <w:b w:val="false"/>
          <w:bCs w:val="false"/>
          <w:color w:val="2C3E50"/>
          <w:sz w:val="20"/>
          <w:szCs w:val="20"/>
        </w:rPr>
        <w:t xml:space="preserve"/>
      </w:r>
    </w:p>
    <w:p>
      <w:pPr>
        <w:jc w:val="center"/>
      </w:pPr>
      <w:r>
        <w:rPr>
          <w:rFonts w:ascii="Arial" w:cs="Arial" w:eastAsia="Arial" w:hAnsi="Arial"/>
          <w:b w:val="false"/>
          <w:bCs w:val="false"/>
          <w:color w:val="999999"/>
          <w:sz w:val="17"/>
          <w:szCs w:val="17"/>
        </w:rPr>
        <w:t xml:space="preserve">Conforme au Référentiel d'Évaluation RE TP-00338 – Millésime 07 – Version 2024</w:t>
      </w:r>
    </w:p>
    <w:p>
      <w:r>
        <w:br w:type="page"/>
      </w:r>
    </w:p>
    <w:p>
      <w:pPr>
        <w:pStyle w:val="Heading1"/>
        <w:shd w:fill="0C1E3A" w:val="clear"/>
        <w:spacing w:after="180" w:before="360"/>
        <w:ind w:left="180" w:right="180"/>
      </w:pPr>
      <w:r>
        <w:rPr>
          <w:rFonts w:ascii="Arial" w:cs="Arial" w:eastAsia="Arial" w:hAnsi="Arial"/>
          <w:b/>
          <w:bCs/>
          <w:color w:val="FFFFFF"/>
          <w:sz w:val="27"/>
          <w:szCs w:val="27"/>
        </w:rPr>
        <w:t xml:space="preserve">1. PRÉSENTATION DE LA CERTIFICATION</w:t>
      </w:r>
    </w:p>
    <w:p>
      <w:pPr>
        <w:pStyle w:val="Heading2"/>
        <w:pBdr>
          <w:bottom w:val="single" w:color="C9A84C" w:sz="6" w:space="2"/>
        </w:pBdr>
        <w:spacing w:after="120" w:before="280"/>
      </w:pPr>
      <w:r>
        <w:rPr>
          <w:rFonts w:ascii="Arial" w:cs="Arial" w:eastAsia="Arial" w:hAnsi="Arial"/>
          <w:b/>
          <w:bCs/>
          <w:color w:val="0C1E3A"/>
          <w:sz w:val="22"/>
          <w:szCs w:val="22"/>
        </w:rPr>
        <w:t xml:space="preserve">▌  1.1 Le métier de Négociateur Technico-Commercial</w:t>
      </w:r>
    </w:p>
    <w:p>
      <w:pPr>
        <w:spacing w:after="80" w:before="60"/>
        <w:jc w:val="both"/>
      </w:pPr>
      <w:r>
        <w:rPr>
          <w:rFonts w:ascii="Arial" w:cs="Arial" w:eastAsia="Arial" w:hAnsi="Arial"/>
          <w:b w:val="false"/>
          <w:bCs w:val="false"/>
          <w:color w:val="2C3E50"/>
          <w:sz w:val="20"/>
          <w:szCs w:val="20"/>
        </w:rPr>
        <w:t xml:space="preserve">Dans le respect de la politique commerciale de l'entreprise et des objectifs fixés par la hiérarchie, le négociateur technico-commercial élabore une stratégie de prospection. Il organise et met en œuvre un plan d'actions commerciales et en évalue les résultats. Il conçoit des propositions techniques et commerciales personnalisées et les négocie. Il assure leur suivi afin d'optimiser la satisfaction de l'entreprise cliente et de la fidéliser.</w:t>
      </w:r>
    </w:p>
    <w:p>
      <w:pPr>
        <w:spacing w:after="80" w:before="60"/>
        <w:jc w:val="both"/>
      </w:pPr>
      <w:r>
        <w:rPr>
          <w:rFonts w:ascii="Arial" w:cs="Arial" w:eastAsia="Arial" w:hAnsi="Arial"/>
          <w:b w:val="false"/>
          <w:bCs w:val="false"/>
          <w:color w:val="2C3E50"/>
          <w:sz w:val="20"/>
          <w:szCs w:val="20"/>
        </w:rPr>
        <w:t xml:space="preserve">Il assure une veille continue, analyse le positionnement des produits et services par rapport à ses concurrents, les tendances du marché et les évolutions de l'offre. Il suit les indicateurs clés de performance et propose les axes d'amélioration. Il intègre la dimension écologique dans ses échanges et adopte une posture d'expert-conseil.</w:t>
      </w:r>
    </w:p>
    <w:p>
      <w:pPr>
        <w:spacing w:after="60" w:before="6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1.2 Architecture officielle du titre – RE TP-00338 millésime 07</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600"/>
        <w:gridCol w:w="4600"/>
        <w:gridCol w:w="1400"/>
        <w:gridCol w:w="1400"/>
      </w:tblGrid>
      <w:tr>
        <w:trPr>
          <w:tblHeader/>
        </w:trPr>
        <w:tc>
          <w:tcPr>
            <w:tcW w:type="dxa" w:w="16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CCP</w:t>
            </w:r>
          </w:p>
        </w:tc>
        <w:tc>
          <w:tcPr>
            <w:tcW w:type="dxa" w:w="46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Compétences officielles</w:t>
            </w:r>
          </w:p>
        </w:tc>
        <w:tc>
          <w:tcPr>
            <w:tcW w:type="dxa" w:w="14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Volume</w:t>
            </w:r>
          </w:p>
        </w:tc>
        <w:tc>
          <w:tcPr>
            <w:tcW w:type="dxa" w:w="14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Part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CCP1
RNCP39063BC01</w:t>
            </w:r>
          </w:p>
        </w:tc>
        <w:tc>
          <w:tcPr>
            <w:tcW w:type="dxa" w:w="4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7"/>
                <w:szCs w:val="17"/>
              </w:rPr>
              <w:t xml:space="preserve">Élaborer une stratégie de prospection et la mettre en œuvre
• Assurer une veille commerciale
• Concevoir et organiser un plan d'actions commerciales
• Prospecter un secteur défini
• Analyser ses performances, élaborer et mettre en œuvre des actions correctives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245 h</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50 %</w:t>
            </w:r>
          </w:p>
        </w:tc>
      </w:tr>
      <w:tr>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CCP2
RNCP39063BC02</w:t>
            </w:r>
          </w:p>
        </w:tc>
        <w:tc>
          <w:tcPr>
            <w:tcW w:type="dxa" w:w="4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7"/>
                <w:szCs w:val="17"/>
              </w:rPr>
              <w:t xml:space="preserve">Négocier une solution technique et commerciale et consolider l'expérience client
• Représenter l'entreprise et valoriser son image
• Concevoir une proposition technique et commerciale
• Négocier une solution technique et commerciale
• Réaliser le bilan, ajuster son activité commerciale et rendre compte
• Optimiser la gestion de la relation client</w:t>
            </w:r>
          </w:p>
        </w:tc>
        <w:tc>
          <w:tcPr>
            <w:tcW w:type="dxa" w:w="1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245 h</w:t>
            </w:r>
          </w:p>
        </w:tc>
        <w:tc>
          <w:tcPr>
            <w:tcW w:type="dxa" w:w="1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7"/>
                <w:szCs w:val="17"/>
              </w:rPr>
              <w:t xml:space="preserve">50 %</w:t>
            </w:r>
          </w:p>
        </w:tc>
      </w:tr>
    </w:tbl>
    <w:p>
      <w:pPr>
        <w:spacing w:after="60" w:before="60"/>
      </w:pPr>
      <w:r>
        <w:rPr>
          <w:rFonts w:ascii="Arial" w:cs="Arial" w:eastAsia="Arial" w:hAnsi="Arial"/>
          <w:b w:val="false"/>
          <w:bCs w:val="false"/>
          <w:color w:val="2C3E50"/>
          <w:sz w:val="20"/>
          <w:szCs w:val="20"/>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center"/>
            </w:pPr>
            <w:r>
              <w:rPr>
                <w:rFonts w:ascii="Arial" w:cs="Arial" w:eastAsia="Arial" w:hAnsi="Arial"/>
                <w:b/>
                <w:bCs/>
                <w:color w:val="0C1E3A"/>
                <w:sz w:val="18"/>
                <w:szCs w:val="18"/>
              </w:rPr>
              <w:t xml:space="preserve">TOTAL : 490 heures en centre de formation</w:t>
            </w:r>
          </w:p>
        </w:tc>
        <w:tc>
          <w:tcPr>
            <w:tcW w:type="dxa" w:w="4500"/>
            <w:tcBorders>
              <w:top w:val="single" w:color="CCCCCC" w:sz="1"/>
              <w:left w:val="single" w:color="CCCCCC" w:sz="1"/>
              <w:bottom w:val="single" w:color="CCCCCC" w:sz="1"/>
              <w:right w:val="single" w:color="CCCCCC" w:sz="1"/>
            </w:tcBorders>
            <w:shd w:fill="1A3A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100 % Présentiel – Rythme 1j CFA / 4j entreprise</w:t>
            </w:r>
          </w:p>
        </w:tc>
      </w:tr>
    </w:tbl>
    <w:p>
      <w:pPr>
        <w:spacing w:after="60" w:before="6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1.3 Compétences transversales évaluées (RE §3.3)</w:t>
      </w:r>
    </w:p>
    <w:p>
      <w:pPr>
        <w:spacing w:after="80" w:before="60"/>
        <w:jc w:val="both"/>
      </w:pPr>
      <w:r>
        <w:rPr>
          <w:rFonts w:ascii="Arial" w:cs="Arial" w:eastAsia="Arial" w:hAnsi="Arial"/>
          <w:b w:val="false"/>
          <w:bCs w:val="false"/>
          <w:color w:val="2C3E50"/>
          <w:sz w:val="20"/>
          <w:szCs w:val="20"/>
        </w:rPr>
        <w:t xml:space="preserve">Les compétences transversales suivantes sont évaluées au travers de toutes les compétences professionnelles :</w:t>
      </w:r>
    </w:p>
    <w:p>
      <w:pPr>
        <w:pStyle w:val="ListParagraph"/>
        <w:numPr>
          <w:ilvl w:val="0"/>
          <w:numId w:val="2"/>
        </w:numPr>
        <w:spacing w:after="40" w:before="40"/>
      </w:pPr>
      <w:r>
        <w:rPr>
          <w:rFonts w:ascii="Arial" w:cs="Arial" w:eastAsia="Arial" w:hAnsi="Arial"/>
          <w:b w:val="false"/>
          <w:bCs w:val="false"/>
          <w:color w:val="2C3E50"/>
          <w:sz w:val="20"/>
          <w:szCs w:val="20"/>
        </w:rPr>
        <w:t xml:space="preserve">Communiquer</w:t>
      </w:r>
    </w:p>
    <w:p>
      <w:pPr>
        <w:pStyle w:val="ListParagraph"/>
        <w:numPr>
          <w:ilvl w:val="0"/>
          <w:numId w:val="2"/>
        </w:numPr>
        <w:spacing w:after="40" w:before="40"/>
      </w:pPr>
      <w:r>
        <w:rPr>
          <w:rFonts w:ascii="Arial" w:cs="Arial" w:eastAsia="Arial" w:hAnsi="Arial"/>
          <w:b w:val="false"/>
          <w:bCs w:val="false"/>
          <w:color w:val="2C3E50"/>
          <w:sz w:val="20"/>
          <w:szCs w:val="20"/>
        </w:rPr>
        <w:t xml:space="preserve">Adopter un comportement orienté vers l'autre</w:t>
      </w:r>
    </w:p>
    <w:p>
      <w:pPr>
        <w:pStyle w:val="ListParagraph"/>
        <w:numPr>
          <w:ilvl w:val="0"/>
          <w:numId w:val="2"/>
        </w:numPr>
        <w:spacing w:after="40" w:before="40"/>
      </w:pPr>
      <w:r>
        <w:rPr>
          <w:rFonts w:ascii="Arial" w:cs="Arial" w:eastAsia="Arial" w:hAnsi="Arial"/>
          <w:b w:val="false"/>
          <w:bCs w:val="false"/>
          <w:color w:val="2C3E50"/>
          <w:sz w:val="20"/>
          <w:szCs w:val="20"/>
        </w:rPr>
        <w:t xml:space="preserve">Rechercher un accord</w:t>
      </w:r>
    </w:p>
    <w:p>
      <w:pPr>
        <w:pStyle w:val="ListParagraph"/>
        <w:numPr>
          <w:ilvl w:val="0"/>
          <w:numId w:val="2"/>
        </w:numPr>
        <w:spacing w:after="40" w:before="40"/>
      </w:pPr>
      <w:r>
        <w:rPr>
          <w:rFonts w:ascii="Arial" w:cs="Arial" w:eastAsia="Arial" w:hAnsi="Arial"/>
          <w:b w:val="false"/>
          <w:bCs w:val="false"/>
          <w:color w:val="2C3E50"/>
          <w:sz w:val="20"/>
          <w:szCs w:val="20"/>
        </w:rPr>
        <w:t xml:space="preserve">Évaluer ses actions</w:t>
      </w:r>
    </w:p>
    <w:p>
      <w:pPr>
        <w:pStyle w:val="ListParagraph"/>
        <w:numPr>
          <w:ilvl w:val="0"/>
          <w:numId w:val="2"/>
        </w:numPr>
        <w:spacing w:after="40" w:before="40"/>
      </w:pPr>
      <w:r>
        <w:rPr>
          <w:rFonts w:ascii="Arial" w:cs="Arial" w:eastAsia="Arial" w:hAnsi="Arial"/>
          <w:b w:val="false"/>
          <w:bCs w:val="false"/>
          <w:color w:val="2C3E50"/>
          <w:sz w:val="20"/>
          <w:szCs w:val="20"/>
        </w:rPr>
        <w:t xml:space="preserve">Mettre en œuvre une démarche de résolution de problème</w:t>
      </w:r>
    </w:p>
    <w:p>
      <w:pPr>
        <w:spacing w:after="60" w:before="6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1.4 Débouchés professionnels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3600"/>
        <w:gridCol w:w="2200"/>
      </w:tblGrid>
      <w:tr>
        <w:trPr>
          <w:tblHeader/>
        </w:trPr>
        <w:tc>
          <w:tcPr>
            <w:tcW w:type="dxa" w:w="32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Intitulé poste</w:t>
            </w:r>
          </w:p>
        </w:tc>
        <w:tc>
          <w:tcPr>
            <w:tcW w:type="dxa" w:w="36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Secteur</w:t>
            </w:r>
          </w:p>
        </w:tc>
        <w:tc>
          <w:tcPr>
            <w:tcW w:type="dxa" w:w="22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Niveau entrée</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Technico-commercial(e)</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Industrie, BTP, tech, distribution</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À la sortie</w:t>
            </w:r>
          </w:p>
        </w:tc>
      </w:tr>
      <w:tr>
        <w:tc>
          <w:tcPr>
            <w:tcW w:type="dxa" w:w="3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Ingénieur(e) d'affaires junior</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Services, conseil, IT, SaaS</w:t>
            </w:r>
          </w:p>
        </w:tc>
        <w:tc>
          <w:tcPr>
            <w:tcW w:type="dxa" w:w="2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À la sortie</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Chef(fe) de secteur</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Distribution, pharma, négoce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À la sortie</w:t>
            </w:r>
          </w:p>
        </w:tc>
      </w:tr>
      <w:tr>
        <w:tc>
          <w:tcPr>
            <w:tcW w:type="dxa" w:w="3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Attaché(e) commercial(e) BtoB</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Tout secteur BtoB</w:t>
            </w:r>
          </w:p>
        </w:tc>
        <w:tc>
          <w:tcPr>
            <w:tcW w:type="dxa" w:w="2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À la sortie</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Chargé(e) de développement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PME/ETI</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1–2 ans exp.</w:t>
            </w:r>
          </w:p>
        </w:tc>
      </w:tr>
      <w:tr>
        <w:tc>
          <w:tcPr>
            <w:tcW w:type="dxa" w:w="3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Key Account Manager junior</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Grands comptes BtoB</w:t>
            </w:r>
          </w:p>
        </w:tc>
        <w:tc>
          <w:tcPr>
            <w:tcW w:type="dxa" w:w="22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2–3 ans exp.</w:t>
            </w:r>
          </w:p>
        </w:tc>
      </w:tr>
    </w:tbl>
    <w:p>
      <w:r>
        <w:br w:type="page"/>
      </w:r>
    </w:p>
    <w:p>
      <w:pPr>
        <w:pStyle w:val="Heading1"/>
        <w:shd w:fill="1A5276" w:val="clear"/>
        <w:spacing w:after="180" w:before="360"/>
        <w:ind w:left="180" w:right="180"/>
      </w:pPr>
      <w:r>
        <w:rPr>
          <w:rFonts w:ascii="Arial" w:cs="Arial" w:eastAsia="Arial" w:hAnsi="Arial"/>
          <w:b/>
          <w:bCs/>
          <w:color w:val="FFFFFF"/>
          <w:sz w:val="25"/>
          <w:szCs w:val="25"/>
        </w:rPr>
        <w:t xml:space="preserve">2. CCP1 – ÉLABORER UNE STRATÉGIE DE PROSPECTION ET LA METTRE EN ŒUVRE</w:t>
      </w:r>
    </w:p>
    <w:p>
      <w:pPr>
        <w:pBdr>
          <w:left w:val="thick" w:color="C9A84C" w:sz="6" w:space="4"/>
        </w:pBdr>
        <w:shd w:fill="FFF9E6" w:val="clear"/>
        <w:spacing w:after="80" w:before="80"/>
        <w:ind w:left="120"/>
      </w:pPr>
      <w:r>
        <w:rPr>
          <w:rFonts w:ascii="Arial" w:cs="Arial" w:eastAsia="Arial" w:hAnsi="Arial"/>
          <w:b w:val="false"/>
          <w:bCs w:val="false"/>
          <w:color w:val="7D6608"/>
          <w:sz w:val="17"/>
          <w:szCs w:val="17"/>
        </w:rPr>
        <w:t xml:space="preserve">CCP1 – RNCP39063BC01 · 245 heures · 4 compétences officielles issues du RE TP-00338 millésime 07</w:t>
      </w:r>
    </w:p>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A5276"/>
          <w:sz w:val="22"/>
          <w:szCs w:val="22"/>
        </w:rPr>
        <w:t xml:space="preserve">▌  2.1 Assurer une veille commerciale</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le Questionnement à partir de productions (Document + Diaporama CCP1)</w:t>
      </w:r>
    </w:p>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outils de veille utilisés sont appropriés au contexte de l'entreprise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données recherchées sont pertinentes par rapport à l'objectif de la veille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données issues de la veille sont actualisées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stratégie de veille est ajustée en fonction des évolutions du contexte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L'analyse du positionnement des produits et des services est étayée par les données issues de la veille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propositions faites en matière de stratégie de veille sont argumentées et étayées par des données issues de la veille</w:t>
            </w:r>
          </w:p>
        </w:tc>
      </w:tr>
    </w:tbl>
    <w:p>
      <w:pPr>
        <w:spacing w:after="60" w:before="6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M1.1 – Environnement commercial BtoB</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Rôle du NTC, marchés BtoB, chaîne de valeur, acteurs du processus achat, secteurs cibles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Apport + étude de cas</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M1.2 – Méthodes et sources de veille</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Publications spécialisées, bases de données, réseaux sociaux, alertes Google, Bodacc, Infogreffe. Évaluation fiabilité/pertinence des sources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pratique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M1.3 – Collecte et analyse des données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Analyse documentaire, entretiens, sondages. Outils d'analyse : SWOT, PESTEL, benchmarking concurrentiel</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pratique + TP</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M1.4 – Analyse concurrentielle</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Cartographie concurrentielle, forces/faiblesses concurrents, positionnement produits/services. Matrices comparatives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Étude de cas sectorielle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M1.5 – Anticipation des évolutions de marché</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Signaux faibles, tendances émergentes, écologie et RSE dans les décisions commerciales, adaptation stratégique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Veille en temps réel</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M1.6 – Communication et partage des résultats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Rapports de veille, présentations internes, outils de partage (SharePoint, Notion). KPI de la veille</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rédaction + TP</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A5276"/>
          <w:sz w:val="22"/>
          <w:szCs w:val="22"/>
        </w:rPr>
        <w:t xml:space="preserve">▌  2.2 Concevoir et organiser un plan d'actions commerciales</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le Questionnement à partir de productions (Document + Diaporama CCP1)</w:t>
      </w:r>
    </w:p>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plan d'actions commerciales est élaboré en fonction des spécificités du secteur</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besoins et attentes spécifiques des entreprises prospects/clientes sont pris en compte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actions du plan commercial sont ajustées en fonction des évolutions du marché, des tendances sectorielles et des changements dans l'environnement économique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opportunités de développement des affaires sont identifiées</w:t>
            </w:r>
          </w:p>
        </w:tc>
      </w:tr>
    </w:tbl>
    <w:p>
      <w:pPr>
        <w:spacing w:after="60" w:before="6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M2.1 – Analyse de marché et segmentation</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Étude du marché cible, tendances, opportunités/menaces. Identification et évaluation des concurrents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marché réel</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M2.2 – Personas et ciblage</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Création des personas (ICP – Ideal Customer Profile), segmentation de la clientèle BtoB, personnalisation des approches par segment</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personas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M2.3 – Stratégie produit/service et positionnement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Description des produits/services, différenciation concurrentielle, proposition de valeur unique, dimensions écologiques et RSE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Jeu de rôle + cas</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M2.4 – Élaboration du plan d'actions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Définition des actions, calendrier d'exécution, allocation des ressources, budgétisation, collaboration inter-services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Livrable plan complet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M2.5 – Stratégie de communication omnicanale</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Communication en ligne/hors ligne, médias sociaux professionnels, entretien de la relation prospects/clients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digital</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M2.6 – Suivi, évaluation et ajustement</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KPI commerciaux, suivi des performances, analyse des écarts, mesures correctives, risques et contingences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tableau de bord</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A5276"/>
          <w:sz w:val="22"/>
          <w:szCs w:val="22"/>
        </w:rPr>
        <w:t xml:space="preserve">▌  2.3 Prospecter un secteur défini</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Mise en situation professionnelle (partie orale – prospection téléphonique 15 min)</w:t>
      </w:r>
    </w:p>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données relatives aux attentes et aux besoins des entreprises prospects/clientes sont recueillies de façon ciblée par rapport à l'objectif et aux caractéristiques des produits et des services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outils de gestion de la relation client (CRM et e-CRM), les plateformes d'automatisation du marketing et les outils de l'IA sont utilisés à bon escient pour recueillir des données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personas sont créés à partir des données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L'entreprise prospect est contactée par le canal le plus approprié par rapport à son persona</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fichier prospects/clients est qualifié et mis à jour</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actions de prospection sont évaluées et ajustées en continu</w:t>
            </w:r>
          </w:p>
        </w:tc>
      </w:tr>
    </w:tbl>
    <w:p>
      <w:pPr>
        <w:spacing w:after="40" w:before="40"/>
      </w:pPr>
      <w:r>
        <w:rPr>
          <w:rFonts w:ascii="Arial" w:cs="Arial" w:eastAsia="Arial" w:hAnsi="Arial"/>
          <w:b w:val="false"/>
          <w:bCs w:val="false"/>
          <w:color w:val="2C3E50"/>
          <w:sz w:val="20"/>
          <w:szCs w:val="20"/>
        </w:rPr>
        <w:t xml:space="preserve"/>
      </w:r>
    </w:p>
    <w:p>
      <w:pPr>
        <w:pBdr>
          <w:left w:val="thick" w:color="C9A84C" w:sz="6" w:space="4"/>
        </w:pBdr>
        <w:shd w:fill="FEF9E7" w:val="clear"/>
        <w:spacing w:after="80" w:before="80"/>
        <w:ind w:left="120"/>
      </w:pPr>
      <w:r>
        <w:rPr>
          <w:rFonts w:ascii="Arial" w:cs="Arial" w:eastAsia="Arial" w:hAnsi="Arial"/>
          <w:b w:val="false"/>
          <w:bCs w:val="false"/>
          <w:color w:val="7D6608"/>
          <w:sz w:val="17"/>
          <w:szCs w:val="17"/>
        </w:rPr>
        <w:t xml:space="preserve">⚠️ Interdiction formelle des outils d'Intelligence Artificielle (ChatGPT, Copilot…) pendant les épreuves (RE Annexe 1 – Ressources)</w:t>
      </w:r>
    </w:p>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M3.1 – Méthodes de prospection multicanale</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Prospection téléphonique (méthode CROC), emailing, LinkedIn Sales Navigator, salons professionnels, prescripteurs. Choix du canal selon le persona</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28h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Mise en situation enregistrée</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M3.2 – Qualification et prise de rendez-vous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Méthode BANT, questions de qualification, traitement des barrages, reformulation, confirmation du RDV. Obtenir l'identité du responsable à contacter</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Jeu de rôle téléphonique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M3.3 – CRM, e-CRM et automatisation</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HubSpot/Salesforce : saisie contacts, suivi opportunités, dashboards, alertes. Plateformes d'automatisation du marketing. Création et mise à jour du fichier prospects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sur outil CRM</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M3.4 – Social selling et personal branding</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LinkedIn : profil adapté à la fonction commerciale, contenu de prospection, respect de la charte entreprise, e-réputation, séquences automatisées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LinkedIn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M3.5 – Évaluation et ajustement des actions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KPIs de prospection, taux de transformation, analyse des résultats, ajustements continus, reporting activité</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KPI prospection</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A5276"/>
          <w:sz w:val="22"/>
          <w:szCs w:val="22"/>
        </w:rPr>
        <w:t xml:space="preserve">▌  2.4 Analyser ses performances, élaborer et mettre en œuvre des actions correctives</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MSP (partie écrite – tableau de bord + diaporama) et l'Entretien technique (matrice SWOT)</w:t>
      </w:r>
    </w:p>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suivi et l'analyse des KPI sont effectués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écarts entre les résultats réalisés avec les objectifs fixés sont évalués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facteurs qui ont contribué aux performances et les obstacles rencontrés sont identifiés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propositions relatives aux ajustements nécessaires prennent en compte le contexte de l'entreprise et celui de l'entreprise cliente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détermination des ressources nécessaires aux ajustements tient compte des contraintes de l'entreprise et de celles de l'entreprise cliente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solution proposée est optimale compte tenu du contexte de l'entreprise et de celui du client</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actions correctives sont alignées avec les objectifs de l'entreprise</w:t>
            </w:r>
          </w:p>
        </w:tc>
      </w:tr>
    </w:tbl>
    <w:p>
      <w:pPr>
        <w:spacing w:after="40" w:before="40"/>
      </w:pPr>
      <w:r>
        <w:rPr>
          <w:rFonts w:ascii="Arial" w:cs="Arial" w:eastAsia="Arial" w:hAnsi="Arial"/>
          <w:b w:val="false"/>
          <w:bCs w:val="false"/>
          <w:color w:val="2C3E50"/>
          <w:sz w:val="20"/>
          <w:szCs w:val="20"/>
        </w:rPr>
        <w:t xml:space="preserve"/>
      </w:r>
    </w:p>
    <w:p>
      <w:pPr>
        <w:shd w:fill="D6EAF8" w:val="clear"/>
        <w:spacing w:after="80" w:before="160"/>
        <w:ind w:left="100"/>
      </w:pPr>
      <w:r>
        <w:rPr>
          <w:rFonts w:ascii="Arial" w:cs="Arial" w:eastAsia="Arial" w:hAnsi="Arial"/>
          <w:b/>
          <w:bCs/>
          <w:color w:val="1A5276"/>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M4.1 – Tableaux de bord commerciaux</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Construction et lecture d'un tableau de bord (CA, marge, taux de concrétisation, panier moyen, nb visites). Excel/Power BI. Renseignement à partir de données fournies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tableau de bord</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M4.2 – Analyse des écarts et SWOT</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Méthode d'analyse des écarts objectifs/réalisé, matrice SWOT commerciale, identification des facteurs explicatifs, forces/faiblesses/opportunités/menaces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pratique SWOT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M4.3 – Plan d'actions correctives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Élaboration de plans correctifs réalistes, priorisation des actions, prise en compte des contraintes entreprise et client, alignement avec les objectifs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Simulation MSP écrite</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M4.4 – Présentation orale des résultats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Construction d'un diaporama 10-12 slides d'analyse de tableau de bord. Présentation orale 15 min conforme au format MSP du RE</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Entraînement MSP orale</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2.5 Évaluation CCP1 – Modalités officielles (RE §3.1)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3400"/>
        <w:gridCol w:w="1600"/>
      </w:tblGrid>
      <w:tr>
        <w:trPr>
          <w:tblHeader/>
        </w:trPr>
        <w:tc>
          <w:tcPr>
            <w:tcW w:type="dxa" w:w="2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Épreuve officielle (RE)</w:t>
            </w:r>
          </w:p>
        </w:tc>
        <w:tc>
          <w:tcPr>
            <w:tcW w:type="dxa" w:w="1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Durée</w:t>
            </w:r>
          </w:p>
        </w:tc>
        <w:tc>
          <w:tcPr>
            <w:tcW w:type="dxa" w:w="34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Descriptif</w:t>
            </w:r>
          </w:p>
        </w:tc>
        <w:tc>
          <w:tcPr>
            <w:tcW w:type="dxa" w:w="160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Coeff.</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Mise en situation prof. – Partie écrite (1h30)</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1h30</w:t>
            </w:r>
          </w:p>
        </w:tc>
        <w:tc>
          <w:tcPr>
            <w:tcW w:type="dxa" w:w="3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Étude de cas entreprise fictive : renseigner un tableau de bord, analyser les résultats, concevoir un diaporama 10-12 slides, prospecter sur téléphone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40 %</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Mise en situation prof. – Partie orale (1h)</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1h</w:t>
            </w:r>
          </w:p>
        </w:tc>
        <w:tc>
          <w:tcPr>
            <w:tcW w:type="dxa" w:w="3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Présentation analyse TB (15 min) + échanges jury (15 min) + prospection téléphonique (15 min) + échanges jury (15 min)</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Entretien technique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50 min</w:t>
            </w:r>
          </w:p>
        </w:tc>
        <w:tc>
          <w:tcPr>
            <w:tcW w:type="dxa" w:w="3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Analyse d'une matrice SWOT donnée par le jury · Prépa 20 min · Présentation 15 min · Échanges 15 min</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Questionnement à partir de productions</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40 min</w:t>
            </w:r>
          </w:p>
        </w:tc>
        <w:tc>
          <w:tcPr>
            <w:tcW w:type="dxa" w:w="3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Document 22-26 pages + diaporama 18-22 slides (Veille commerciale + Plan d'actions). Présentation 20 min + Questions jury 20 min</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bl>
    <w:p>
      <w:pPr>
        <w:spacing w:after="40" w:before="40"/>
      </w:pPr>
      <w:r>
        <w:rPr>
          <w:rFonts w:ascii="Arial" w:cs="Arial" w:eastAsia="Arial" w:hAnsi="Arial"/>
          <w:b w:val="false"/>
          <w:bCs w:val="false"/>
          <w:color w:val="2C3E50"/>
          <w:sz w:val="20"/>
          <w:szCs w:val="20"/>
        </w:rPr>
        <w:t xml:space="preserve"/>
      </w:r>
    </w:p>
    <w:p>
      <w:pPr>
        <w:pBdr>
          <w:left w:val="thick" w:color="C9A84C" w:sz="6" w:space="4"/>
        </w:pBdr>
        <w:shd w:fill="FFF9E6" w:val="clear"/>
        <w:spacing w:after="80" w:before="80"/>
        <w:ind w:left="120"/>
      </w:pPr>
      <w:r>
        <w:rPr>
          <w:rFonts w:ascii="Arial" w:cs="Arial" w:eastAsia="Arial" w:hAnsi="Arial"/>
          <w:b w:val="false"/>
          <w:bCs w:val="false"/>
          <w:color w:val="7D6608"/>
          <w:sz w:val="17"/>
          <w:szCs w:val="17"/>
        </w:rPr>
        <w:t xml:space="preserve">Période en entreprise requise : 175 heures minimum pour présenter le CCP1 (350h pour le titre complet)</w:t>
      </w:r>
    </w:p>
    <w:p>
      <w:r>
        <w:br w:type="page"/>
      </w:r>
    </w:p>
    <w:p>
      <w:pPr>
        <w:pStyle w:val="Heading1"/>
        <w:shd w:fill="145A32" w:val="clear"/>
        <w:spacing w:after="180" w:before="360"/>
        <w:ind w:left="180" w:right="180"/>
      </w:pPr>
      <w:r>
        <w:rPr>
          <w:rFonts w:ascii="Arial" w:cs="Arial" w:eastAsia="Arial" w:hAnsi="Arial"/>
          <w:b/>
          <w:bCs/>
          <w:color w:val="FFFFFF"/>
          <w:sz w:val="25"/>
          <w:szCs w:val="25"/>
        </w:rPr>
        <w:t xml:space="preserve">3. CCP2 – NÉGOCIER UNE SOLUTION TECHNIQUE ET COMMERCIALE ET CONSOLIDER L'EXPÉRIENCE CLIENT</w:t>
      </w:r>
    </w:p>
    <w:p>
      <w:pPr>
        <w:pBdr>
          <w:left w:val="thick" w:color="C9A84C" w:sz="6" w:space="4"/>
        </w:pBdr>
        <w:shd w:fill="FFF9E6" w:val="clear"/>
        <w:spacing w:after="80" w:before="80"/>
        <w:ind w:left="120"/>
      </w:pPr>
      <w:r>
        <w:rPr>
          <w:rFonts w:ascii="Arial" w:cs="Arial" w:eastAsia="Arial" w:hAnsi="Arial"/>
          <w:b w:val="false"/>
          <w:bCs w:val="false"/>
          <w:color w:val="7D6608"/>
          <w:sz w:val="17"/>
          <w:szCs w:val="17"/>
        </w:rPr>
        <w:t xml:space="preserve">CCP2 – RNCP39063BC02 · 245 heures · 5 compétences officielles issues du RE TP-00338 millésime 07</w:t>
      </w:r>
    </w:p>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45A32"/>
          <w:sz w:val="22"/>
          <w:szCs w:val="22"/>
        </w:rPr>
        <w:t xml:space="preserve">▌  3.1 Représenter l'entreprise et valoriser son image</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Mise en situation professionnelle (partie orale)</w:t>
      </w:r>
    </w:p>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présentation des produits, solutions, savoir-faire et services est valorisante et adaptée à l'interlocuteur et au canal de communication</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profil professionnel est créé et utilisé sur les réseaux sociaux dans le respect de la charte et des consignes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L'e-réputation de l'entreprise est entretenue et surveillée en continu</w:t>
            </w:r>
          </w:p>
        </w:tc>
      </w:tr>
    </w:tbl>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M5.1 – Image professionnelle et posture</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Codes vestimentaires et comportementaux, posture d'expert-conseil, éthique commerciale, représentation de l'entreprise en clientèle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Jeu de rôle + débrief</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M5.2 – Personal branding et réseaux sociaux</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LinkedIn : création et optimisation du profil commercial, respect de la charte entreprise, publication de contenu professionnel, surveillance de l'e-réputation</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LinkedIn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M5.3 – Argumentaire produit/service – CAP</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Méthode CAP (Caractéristiques – Avantages – Preuves), fiche produit/service, tableau comparatif concurrentiel, intégration dimension écologique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argumentaire</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45A32"/>
          <w:sz w:val="22"/>
          <w:szCs w:val="22"/>
        </w:rPr>
        <w:t xml:space="preserve">▌  3.2 Concevoir une proposition technique et commerciale</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Mise en situation professionnelle (partie écrite : rédaction proposition commerciale)</w:t>
      </w:r>
    </w:p>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informations relatives aux besoins de l'entreprise prospect/cliente sont recueillies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L'offre de la concurrence est analysée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proposition technique et commerciale personnalisée est en adéquation avec les objectifs et les priorités de l'entreprise prospect/cliente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proposition intègre les éléments liés au développement durable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proposition est adaptée à l'évolution des besoins de l'entreprise prospect/cliente à long terme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avantages tangibles et intangibles de la proposition sont mis en avant</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proposition est réalisable d'un point de vue technique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proposition est rentable d'un point de vue commercial</w:t>
            </w:r>
          </w:p>
        </w:tc>
      </w:tr>
    </w:tbl>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M6.1 – Découverte et analyse des besoins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Méthode SPIN Selling (Situation, Problème, Implication, Need-payoff), écoute active, reformulation, cahier des charges fonctionnel, qualification premier contact</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Jeu de rôle SPIN</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M6.2 – Analyse de la concurrence et de l'offre</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Benchmarking concurrentiel, analyse des offres concurrentes, avantages différenciants, intégration RSE/développement durable dans l'offre</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Analyse offres réelles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M6.3 – Chiffrage et construction du prix</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Coûts de revient, calcul de marge, prix de vente, conditions de paiement, logique de valeur perçue, rentabilité commerciale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chiffrage cas réel</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M6.4 – Rédaction de la proposition commerciale</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Structure : contexte client, solution proposée, avantages tangibles/intangibles, éléments DD, conditions, preuves sociales. Format MSP (étude de cas fictive)</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Rédaction offre complète</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45A32"/>
          <w:sz w:val="22"/>
          <w:szCs w:val="22"/>
        </w:rPr>
        <w:t xml:space="preserve">▌  3.3 Négocier une solution technique et commerciale</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Mise en situation professionnelle (partie orale : entretien en face à face 60 min + débrief jury 15 min)</w:t>
      </w:r>
    </w:p>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négociation de la solution répond aux attentes de l'entreprise prospect/cliente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présentation est personnalisée et s'appuie sur des supports adaptés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posture d'expert-conseil est adoptée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avantages du produit ou du service sont illustrés avec le support adapté</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dimension écologique est intégrée dans les échanges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L'argumentation est pertinente</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objections sont traitées de manière factuelle et valorisent la solution</w:t>
            </w:r>
          </w:p>
        </w:tc>
      </w:tr>
    </w:tbl>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M7.1 – Techniques de négociation</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BATNA/ZOPA, tactiques distributives et intégratives, gestion du rapport de force, concessions/contreparties, négociation multi-interlocuteurs (DMU)</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Simulation de négociation</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M7.2 – Traitement des objections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Méthode ART (Accepter, Reformuler, Traiter), objections prix/délai/concurrent/technique/interne, argumentation factuelle valorisant la solution, dimension écologique</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Jeu de rôle vidéo + débrief</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M7.3 – Présentation et démonstration</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Structure d'une présentation commerciale face à un acheteur BtoB, supports adaptés, storytelling, gestion du temps, entretien en face à face 60 min (format MSP)</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Entraînement MSP orale</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M7.4 – Closing et conclusion</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Signaux d'achat verbaux et non verbaux, techniques de closing, reformulation de l'accord, engagement vers signature bon de commande ou RDV de conclusion</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Mise en situation + débrief</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45A32"/>
          <w:sz w:val="22"/>
          <w:szCs w:val="22"/>
        </w:rPr>
        <w:t xml:space="preserve">▌  3.4 Réaliser le bilan, ajuster son activité commerciale et rendre compte</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la Mise en situation professionnelle et l'Entretien technique</w:t>
      </w:r>
    </w:p>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bilan de l'activité commerciale est régulièrement réalisé et analysé</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écarts entre les résultats obtenus et les objectifs fixés sont analysés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propositions des mesures correctives mènent à des ajustements réalisables</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nouvelles opportunités sont identifiées et les plans d'actions sont élaborés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comptes rendus sont clairs et exploitables par des tiers</w:t>
            </w:r>
          </w:p>
        </w:tc>
      </w:tr>
    </w:tbl>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M8.1 – Bilan d'activité et reporting</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Compte-rendu de visite, rapport d'activité hebdomadaire/mensuel, présentation des résultats à la direction, comptes rendus exploitables par des tiers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Atelier rédaction + présentation</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M8.2 – Identification des opportunités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Analyse du portefeuille clients, identification des opportunités de développement, up-selling, cross-selling, planification des actions futures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portefeuille client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M8.3 – Aspects juridiques du contrat de vente</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CGV/CGA, formation du contrat, transfert de propriété, garanties légales et contractuelles, RGPD dans la relation client</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Quiz + étude de contrat</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145A32"/>
          <w:sz w:val="22"/>
          <w:szCs w:val="22"/>
        </w:rPr>
        <w:t xml:space="preserve">▌  3.5 Optimiser la gestion de la relation client</w:t>
      </w:r>
    </w:p>
    <w:p>
      <w:pPr>
        <w:spacing w:after="80" w:before="60"/>
        <w:jc w:val="both"/>
      </w:pPr>
      <w:r>
        <w:rPr>
          <w:rFonts w:ascii="Arial" w:cs="Arial" w:eastAsia="Arial" w:hAnsi="Arial"/>
          <w:b w:val="false"/>
          <w:bCs w:val="false"/>
          <w:color w:val="2C3E50"/>
          <w:sz w:val="20"/>
          <w:szCs w:val="20"/>
        </w:rPr>
        <w:t xml:space="preserve">Compétence officielle issue du RE TP-00338 – Évaluée dans le Questionnement à partir de productions CCP2 (Document 10-12p + Diaporama 13-17 slides)</w:t>
      </w:r>
    </w:p>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Critères d'évaluation officiels (RE §3.2)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tblHeader/>
        </w:trPr>
        <w:tc>
          <w:tcPr>
            <w:tcW w:type="dxa" w:w="90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Critère d'évaluation officiel (RE §3.2)</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 suivi de la mise en œuvre des solutions de l'entreprise cliente est assuré</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opportunités d'amélioration de l'offre de produits et de services sont identifiées pour actualiser les personas</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Les besoins sont anticipés et les propositions sont améliorées de manière proactive</w:t>
            </w:r>
          </w:p>
        </w:tc>
      </w:tr>
      <w:tr>
        <w:tc>
          <w:tcPr>
            <w:tcW w:type="dxa" w:w="9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L'expérience client est cohérente à travers tous les points de contact</w:t>
            </w:r>
          </w:p>
        </w:tc>
      </w:tr>
      <w:tr>
        <w:tc>
          <w:tcPr>
            <w:tcW w:type="dxa" w:w="9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La communication avec les entreprises clientes est régulière et transparente</w:t>
            </w:r>
          </w:p>
        </w:tc>
      </w:tr>
    </w:tbl>
    <w:p>
      <w:pPr>
        <w:spacing w:after="40" w:before="40"/>
      </w:pPr>
      <w:r>
        <w:rPr>
          <w:rFonts w:ascii="Arial" w:cs="Arial" w:eastAsia="Arial" w:hAnsi="Arial"/>
          <w:b w:val="false"/>
          <w:bCs w:val="false"/>
          <w:color w:val="2C3E50"/>
          <w:sz w:val="20"/>
          <w:szCs w:val="20"/>
        </w:rPr>
        <w:t xml:space="preserve"/>
      </w:r>
    </w:p>
    <w:p>
      <w:pPr>
        <w:shd w:fill="D5F5E3" w:val="clear"/>
        <w:spacing w:after="80" w:before="160"/>
        <w:ind w:left="100"/>
      </w:pPr>
      <w:r>
        <w:rPr>
          <w:rFonts w:ascii="Arial" w:cs="Arial" w:eastAsia="Arial" w:hAnsi="Arial"/>
          <w:b/>
          <w:bCs/>
          <w:color w:val="145A32"/>
          <w:sz w:val="21"/>
          <w:szCs w:val="21"/>
        </w:rPr>
        <w:t xml:space="preserve">Contenus de formation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700"/>
        <w:gridCol w:w="23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Module</w:t>
            </w:r>
          </w:p>
        </w:tc>
        <w:tc>
          <w:tcPr>
            <w:tcW w:type="dxa" w:w="3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Contenus</w:t>
            </w:r>
          </w:p>
        </w:tc>
        <w:tc>
          <w:tcPr>
            <w:tcW w:type="dxa" w:w="7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w:t>
            </w:r>
          </w:p>
        </w:tc>
        <w:tc>
          <w:tcPr>
            <w:tcW w:type="dxa" w:w="23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Modalité pédagogique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M9.1 – Suivi et fidélisation client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Suivi post-vente, gestion des réclamations, plans de fidélisation, communication régulière et transparente, business review. Cohérence de l'expérience client omnicanale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21h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account management</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M9.2 – CRM/e-CRM et automatisation</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Intégration des systèmes CRM pour la gestion de la relation client, plateformes numériques de personnalisation, outils d'automatisation, actualisation des personas à partir des retours clients</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CRM client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M9.3 – Mesure satisfaction et amélioration</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NPS, CSAT, CES, enquêtes de satisfaction, analyse des retours, plan d'actions d'amélioration, adaptation aux tendances et évolutions du marché</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14h</w:t>
            </w:r>
          </w:p>
        </w:tc>
        <w:tc>
          <w:tcPr>
            <w:tcW w:type="dxa" w:w="2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TP mesure satisfaction</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M9.4 – Partenariats et synergies</w:t>
            </w:r>
          </w:p>
        </w:tc>
        <w:tc>
          <w:tcPr>
            <w:tcW w:type="dxa" w:w="3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Identification de partenaires pour renforcer l'offre, utilisation des partenariats pour élargir les solutions, coordination interne et externe, contribution à la réputation</w:t>
            </w:r>
          </w:p>
        </w:tc>
        <w:tc>
          <w:tcPr>
            <w:tcW w:type="dxa" w:w="7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7h</w:t>
            </w:r>
          </w:p>
        </w:tc>
        <w:tc>
          <w:tcPr>
            <w:tcW w:type="dxa" w:w="23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partenarial</w:t>
            </w:r>
          </w:p>
        </w:tc>
      </w:tr>
    </w:tbl>
    <w:p>
      <w:pPr>
        <w:spacing w:after="40" w:before="4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3.6 Évaluation CCP2 – Modalités officielles (RE §3.1)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3400"/>
        <w:gridCol w:w="1600"/>
      </w:tblGrid>
      <w:tr>
        <w:trPr>
          <w:tblHeader/>
        </w:trPr>
        <w:tc>
          <w:tcPr>
            <w:tcW w:type="dxa" w:w="2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Épreuve officielle (RE)</w:t>
            </w:r>
          </w:p>
        </w:tc>
        <w:tc>
          <w:tcPr>
            <w:tcW w:type="dxa" w:w="1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Durée</w:t>
            </w:r>
          </w:p>
        </w:tc>
        <w:tc>
          <w:tcPr>
            <w:tcW w:type="dxa" w:w="34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Descriptif</w:t>
            </w:r>
          </w:p>
        </w:tc>
        <w:tc>
          <w:tcPr>
            <w:tcW w:type="dxa" w:w="1600"/>
            <w:tcBorders>
              <w:top w:val="single" w:color="CCCCCC" w:sz="1"/>
              <w:left w:val="single" w:color="CCCCCC" w:sz="1"/>
              <w:bottom w:val="single" w:color="CCCCCC" w:sz="1"/>
              <w:right w:val="single" w:color="CCCCCC" w:sz="1"/>
            </w:tcBorders>
            <w:shd w:fill="145A32"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Coeff.</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Mise en situation prof. – Partie écrite (3h)</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3h</w:t>
            </w:r>
          </w:p>
        </w:tc>
        <w:tc>
          <w:tcPr>
            <w:tcW w:type="dxa" w:w="3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Étude de cas entreprise fictive : analyse contexte + premier contact prospect, rédaction d'une proposition technique et commerciale complète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40 %</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Mise en situation prof. – Partie orale (1h45)</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1h45</w:t>
            </w:r>
          </w:p>
        </w:tc>
        <w:tc>
          <w:tcPr>
            <w:tcW w:type="dxa" w:w="3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Prépa 30 min + Négociation face à face 60 min (présentation proposition + négociation jusqu'au bon de commande) + Débrief jury 15 min</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Entretien technique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50 min</w:t>
            </w:r>
          </w:p>
        </w:tc>
        <w:tc>
          <w:tcPr>
            <w:tcW w:type="dxa" w:w="3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Analyse d'une matrice SWOT donnée par le jury · Prépa 20 min · Présentation 15 min · Échanges 15 min</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r>
        <w:tc>
          <w:tcPr>
            <w:tcW w:type="dxa" w:w="2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Questionnement à partir de productions</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min</w:t>
            </w:r>
          </w:p>
        </w:tc>
        <w:tc>
          <w:tcPr>
            <w:tcW w:type="dxa" w:w="34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Document 10-12 pages sur « Optimiser la gestion de la relation client » + Diaporama 13-17 slides. Présentation 15 min + Questions jury 15 min</w:t>
            </w:r>
          </w:p>
        </w:tc>
        <w:tc>
          <w:tcPr>
            <w:tcW w:type="dxa" w:w="16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bl>
    <w:p>
      <w:pPr>
        <w:spacing w:after="40" w:before="40"/>
      </w:pPr>
      <w:r>
        <w:rPr>
          <w:rFonts w:ascii="Arial" w:cs="Arial" w:eastAsia="Arial" w:hAnsi="Arial"/>
          <w:b w:val="false"/>
          <w:bCs w:val="false"/>
          <w:color w:val="2C3E50"/>
          <w:sz w:val="20"/>
          <w:szCs w:val="20"/>
        </w:rPr>
        <w:t xml:space="preserve"/>
      </w:r>
    </w:p>
    <w:p>
      <w:pPr>
        <w:pBdr>
          <w:left w:val="thick" w:color="C9A84C" w:sz="6" w:space="4"/>
        </w:pBdr>
        <w:shd w:fill="FFF9E6" w:val="clear"/>
        <w:spacing w:after="80" w:before="80"/>
        <w:ind w:left="120"/>
      </w:pPr>
      <w:r>
        <w:rPr>
          <w:rFonts w:ascii="Arial" w:cs="Arial" w:eastAsia="Arial" w:hAnsi="Arial"/>
          <w:b w:val="false"/>
          <w:bCs w:val="false"/>
          <w:color w:val="7D6608"/>
          <w:sz w:val="17"/>
          <w:szCs w:val="17"/>
        </w:rPr>
        <w:t xml:space="preserve">Période en entreprise requise : 175 heures minimum pour présenter le CCP2 (350h pour le titre complet)</w:t>
      </w:r>
    </w:p>
    <w:p>
      <w:r>
        <w:br w:type="page"/>
      </w:r>
    </w:p>
    <w:p>
      <w:pPr>
        <w:pStyle w:val="Heading1"/>
        <w:shd w:fill="0C1E3A" w:val="clear"/>
        <w:spacing w:after="180" w:before="360"/>
        <w:ind w:left="180" w:right="180"/>
      </w:pPr>
      <w:r>
        <w:rPr>
          <w:rFonts w:ascii="Arial" w:cs="Arial" w:eastAsia="Arial" w:hAnsi="Arial"/>
          <w:b/>
          <w:bCs/>
          <w:color w:val="FFFFFF"/>
          <w:sz w:val="27"/>
          <w:szCs w:val="27"/>
        </w:rPr>
        <w:t xml:space="preserve">4. ORGANISATION PÉDAGOGIQUE</w:t>
      </w:r>
    </w:p>
    <w:p>
      <w:pPr>
        <w:pStyle w:val="Heading2"/>
        <w:pBdr>
          <w:bottom w:val="single" w:color="C9A84C" w:sz="6" w:space="2"/>
        </w:pBdr>
        <w:spacing w:after="120" w:before="280"/>
      </w:pPr>
      <w:r>
        <w:rPr>
          <w:rFonts w:ascii="Arial" w:cs="Arial" w:eastAsia="Arial" w:hAnsi="Arial"/>
          <w:b/>
          <w:bCs/>
          <w:color w:val="0C1E3A"/>
          <w:sz w:val="22"/>
          <w:szCs w:val="22"/>
        </w:rPr>
        <w:t xml:space="preserve">▌  4.1 Répartition horaire par compétence officielle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800"/>
        <w:gridCol w:w="3600"/>
        <w:gridCol w:w="1600"/>
        <w:gridCol w:w="1800"/>
        <w:gridCol w:w="1200"/>
      </w:tblGrid>
      <w:tr>
        <w:trPr>
          <w:tblHeader/>
        </w:trPr>
        <w:tc>
          <w:tcPr>
            <w:tcW w:type="dxa" w:w="8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CCP</w:t>
            </w:r>
          </w:p>
        </w:tc>
        <w:tc>
          <w:tcPr>
            <w:tcW w:type="dxa" w:w="36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Compétence officielle (RE)</w:t>
            </w:r>
          </w:p>
        </w:tc>
        <w:tc>
          <w:tcPr>
            <w:tcW w:type="dxa" w:w="16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 formation</w:t>
            </w:r>
          </w:p>
        </w:tc>
        <w:tc>
          <w:tcPr>
            <w:tcW w:type="dxa" w:w="18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H entreprise</w:t>
            </w:r>
          </w:p>
        </w:tc>
        <w:tc>
          <w:tcPr>
            <w:tcW w:type="dxa" w:w="12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Total</w:t>
            </w:r>
          </w:p>
        </w:tc>
      </w:tr>
      <w:tr>
        <w:tc>
          <w:tcPr>
            <w:tcW w:type="dxa" w:w="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bCs/>
                <w:color w:val="1A5276"/>
                <w:sz w:val="17"/>
                <w:szCs w:val="17"/>
              </w:rPr>
              <w:t xml:space="preserve">CCP1</w:t>
            </w:r>
          </w:p>
        </w:tc>
        <w:tc>
          <w:tcPr>
            <w:tcW w:type="dxa" w:w="3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left"/>
            </w:pPr>
            <w:r>
              <w:rPr>
                <w:rFonts w:ascii="Arial" w:cs="Arial" w:eastAsia="Arial" w:hAnsi="Arial"/>
                <w:b w:val="false"/>
                <w:bCs w:val="false"/>
                <w:color w:val="1A5276"/>
                <w:sz w:val="17"/>
                <w:szCs w:val="17"/>
              </w:rPr>
              <w:t xml:space="preserve">Assurer une veille commerciale</w:t>
            </w:r>
          </w:p>
        </w:tc>
        <w:tc>
          <w:tcPr>
            <w:tcW w:type="dxa" w:w="1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77h</w:t>
            </w:r>
          </w:p>
        </w:tc>
        <w:tc>
          <w:tcPr>
            <w:tcW w:type="dxa" w:w="1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c>
          <w:tcPr>
            <w:tcW w:type="dxa" w:w="12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r>
      <w:tr>
        <w:tc>
          <w:tcPr>
            <w:tcW w:type="dxa" w:w="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bCs/>
                <w:color w:val="1A5276"/>
                <w:sz w:val="17"/>
                <w:szCs w:val="17"/>
              </w:rPr>
              <w:t xml:space="preserve">CCP1</w:t>
            </w:r>
          </w:p>
        </w:tc>
        <w:tc>
          <w:tcPr>
            <w:tcW w:type="dxa" w:w="3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left"/>
            </w:pPr>
            <w:r>
              <w:rPr>
                <w:rFonts w:ascii="Arial" w:cs="Arial" w:eastAsia="Arial" w:hAnsi="Arial"/>
                <w:b w:val="false"/>
                <w:bCs w:val="false"/>
                <w:color w:val="1A5276"/>
                <w:sz w:val="17"/>
                <w:szCs w:val="17"/>
              </w:rPr>
              <w:t xml:space="preserve">Concevoir et organiser un plan d'actions commerciales</w:t>
            </w:r>
          </w:p>
        </w:tc>
        <w:tc>
          <w:tcPr>
            <w:tcW w:type="dxa" w:w="1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105h</w:t>
            </w:r>
          </w:p>
        </w:tc>
        <w:tc>
          <w:tcPr>
            <w:tcW w:type="dxa" w:w="1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c>
          <w:tcPr>
            <w:tcW w:type="dxa" w:w="12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r>
      <w:tr>
        <w:tc>
          <w:tcPr>
            <w:tcW w:type="dxa" w:w="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bCs/>
                <w:color w:val="1A5276"/>
                <w:sz w:val="17"/>
                <w:szCs w:val="17"/>
              </w:rPr>
              <w:t xml:space="preserve">CCP1</w:t>
            </w:r>
          </w:p>
        </w:tc>
        <w:tc>
          <w:tcPr>
            <w:tcW w:type="dxa" w:w="3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left"/>
            </w:pPr>
            <w:r>
              <w:rPr>
                <w:rFonts w:ascii="Arial" w:cs="Arial" w:eastAsia="Arial" w:hAnsi="Arial"/>
                <w:b w:val="false"/>
                <w:bCs w:val="false"/>
                <w:color w:val="1A5276"/>
                <w:sz w:val="17"/>
                <w:szCs w:val="17"/>
              </w:rPr>
              <w:t xml:space="preserve">Prospecter un secteur défini</w:t>
            </w:r>
          </w:p>
        </w:tc>
        <w:tc>
          <w:tcPr>
            <w:tcW w:type="dxa" w:w="1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91h</w:t>
            </w:r>
          </w:p>
        </w:tc>
        <w:tc>
          <w:tcPr>
            <w:tcW w:type="dxa" w:w="1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c>
          <w:tcPr>
            <w:tcW w:type="dxa" w:w="12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
            </w:r>
          </w:p>
        </w:tc>
      </w:tr>
      <w:tr>
        <w:tc>
          <w:tcPr>
            <w:tcW w:type="dxa" w:w="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bCs/>
                <w:color w:val="1A5276"/>
                <w:sz w:val="17"/>
                <w:szCs w:val="17"/>
              </w:rPr>
              <w:t xml:space="preserve">CCP1</w:t>
            </w:r>
          </w:p>
        </w:tc>
        <w:tc>
          <w:tcPr>
            <w:tcW w:type="dxa" w:w="3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left"/>
            </w:pPr>
            <w:r>
              <w:rPr>
                <w:rFonts w:ascii="Arial" w:cs="Arial" w:eastAsia="Arial" w:hAnsi="Arial"/>
                <w:b w:val="false"/>
                <w:bCs w:val="false"/>
                <w:color w:val="1A5276"/>
                <w:sz w:val="17"/>
                <w:szCs w:val="17"/>
              </w:rPr>
              <w:t xml:space="preserve">Analyser ses performances, élaborer et mettre en œuvre des actions correctives</w:t>
            </w:r>
          </w:p>
        </w:tc>
        <w:tc>
          <w:tcPr>
            <w:tcW w:type="dxa" w:w="16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49h</w:t>
            </w:r>
          </w:p>
        </w:tc>
        <w:tc>
          <w:tcPr>
            <w:tcW w:type="dxa" w:w="18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w:t>
            </w:r>
          </w:p>
        </w:tc>
        <w:tc>
          <w:tcPr>
            <w:tcW w:type="dxa" w:w="1200"/>
            <w:tcBorders>
              <w:top w:val="single" w:color="CCCCCC" w:sz="1"/>
              <w:left w:val="single" w:color="CCCCCC" w:sz="1"/>
              <w:bottom w:val="single" w:color="CCCCCC" w:sz="1"/>
              <w:right w:val="single" w:color="CCCCCC" w:sz="1"/>
            </w:tcBorders>
            <w:shd w:fill="D6EAF8" w:val="clear"/>
            <w:tcMar>
              <w:top w:type="dxa" w:w="80"/>
              <w:left w:type="dxa" w:w="120"/>
              <w:bottom w:type="dxa" w:w="80"/>
              <w:right w:type="dxa" w:w="120"/>
            </w:tcMar>
            <w:vAlign w:val="center"/>
          </w:tcPr>
          <w:p>
            <w:pPr>
              <w:jc w:val="center"/>
            </w:pPr>
            <w:r>
              <w:rPr>
                <w:rFonts w:ascii="Arial" w:cs="Arial" w:eastAsia="Arial" w:hAnsi="Arial"/>
                <w:b w:val="false"/>
                <w:bCs w:val="false"/>
                <w:color w:val="1A5276"/>
                <w:sz w:val="17"/>
                <w:szCs w:val="17"/>
              </w:rPr>
              <w:t xml:space="preserve">245h CCP1</w:t>
            </w:r>
          </w:p>
        </w:tc>
      </w:tr>
      <w:tr>
        <w:tc>
          <w:tcPr>
            <w:tcW w:type="dxa" w:w="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bCs/>
                <w:color w:val="145A32"/>
                <w:sz w:val="17"/>
                <w:szCs w:val="17"/>
              </w:rPr>
              <w:t xml:space="preserve">CCP2</w:t>
            </w:r>
          </w:p>
        </w:tc>
        <w:tc>
          <w:tcPr>
            <w:tcW w:type="dxa" w:w="3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left"/>
            </w:pPr>
            <w:r>
              <w:rPr>
                <w:rFonts w:ascii="Arial" w:cs="Arial" w:eastAsia="Arial" w:hAnsi="Arial"/>
                <w:b w:val="false"/>
                <w:bCs w:val="false"/>
                <w:color w:val="145A32"/>
                <w:sz w:val="17"/>
                <w:szCs w:val="17"/>
              </w:rPr>
              <w:t xml:space="preserve">Représenter l'entreprise et valoriser son image</w:t>
            </w:r>
          </w:p>
        </w:tc>
        <w:tc>
          <w:tcPr>
            <w:tcW w:type="dxa" w:w="1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35h</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c>
          <w:tcPr>
            <w:tcW w:type="dxa" w:w="12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r>
      <w:tr>
        <w:tc>
          <w:tcPr>
            <w:tcW w:type="dxa" w:w="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bCs/>
                <w:color w:val="145A32"/>
                <w:sz w:val="17"/>
                <w:szCs w:val="17"/>
              </w:rPr>
              <w:t xml:space="preserve">CCP2</w:t>
            </w:r>
          </w:p>
        </w:tc>
        <w:tc>
          <w:tcPr>
            <w:tcW w:type="dxa" w:w="3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left"/>
            </w:pPr>
            <w:r>
              <w:rPr>
                <w:rFonts w:ascii="Arial" w:cs="Arial" w:eastAsia="Arial" w:hAnsi="Arial"/>
                <w:b w:val="false"/>
                <w:bCs w:val="false"/>
                <w:color w:val="145A32"/>
                <w:sz w:val="17"/>
                <w:szCs w:val="17"/>
              </w:rPr>
              <w:t xml:space="preserve">Concevoir une proposition technique et commerciale</w:t>
            </w:r>
          </w:p>
        </w:tc>
        <w:tc>
          <w:tcPr>
            <w:tcW w:type="dxa" w:w="1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70h</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c>
          <w:tcPr>
            <w:tcW w:type="dxa" w:w="12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r>
      <w:tr>
        <w:tc>
          <w:tcPr>
            <w:tcW w:type="dxa" w:w="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bCs/>
                <w:color w:val="145A32"/>
                <w:sz w:val="17"/>
                <w:szCs w:val="17"/>
              </w:rPr>
              <w:t xml:space="preserve">CCP2</w:t>
            </w:r>
          </w:p>
        </w:tc>
        <w:tc>
          <w:tcPr>
            <w:tcW w:type="dxa" w:w="3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left"/>
            </w:pPr>
            <w:r>
              <w:rPr>
                <w:rFonts w:ascii="Arial" w:cs="Arial" w:eastAsia="Arial" w:hAnsi="Arial"/>
                <w:b w:val="false"/>
                <w:bCs w:val="false"/>
                <w:color w:val="145A32"/>
                <w:sz w:val="17"/>
                <w:szCs w:val="17"/>
              </w:rPr>
              <w:t xml:space="preserve">Négocier une solution technique et commerciale</w:t>
            </w:r>
          </w:p>
        </w:tc>
        <w:tc>
          <w:tcPr>
            <w:tcW w:type="dxa" w:w="1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77h</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c>
          <w:tcPr>
            <w:tcW w:type="dxa" w:w="12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r>
      <w:tr>
        <w:tc>
          <w:tcPr>
            <w:tcW w:type="dxa" w:w="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bCs/>
                <w:color w:val="145A32"/>
                <w:sz w:val="17"/>
                <w:szCs w:val="17"/>
              </w:rPr>
              <w:t xml:space="preserve">CCP2</w:t>
            </w:r>
          </w:p>
        </w:tc>
        <w:tc>
          <w:tcPr>
            <w:tcW w:type="dxa" w:w="3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left"/>
            </w:pPr>
            <w:r>
              <w:rPr>
                <w:rFonts w:ascii="Arial" w:cs="Arial" w:eastAsia="Arial" w:hAnsi="Arial"/>
                <w:b w:val="false"/>
                <w:bCs w:val="false"/>
                <w:color w:val="145A32"/>
                <w:sz w:val="17"/>
                <w:szCs w:val="17"/>
              </w:rPr>
              <w:t xml:space="preserve">Réaliser le bilan, ajuster son activité et rendre compte</w:t>
            </w:r>
          </w:p>
        </w:tc>
        <w:tc>
          <w:tcPr>
            <w:tcW w:type="dxa" w:w="1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35h</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w:t>
            </w:r>
          </w:p>
        </w:tc>
        <w:tc>
          <w:tcPr>
            <w:tcW w:type="dxa" w:w="12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
            </w:r>
          </w:p>
        </w:tc>
      </w:tr>
      <w:tr>
        <w:tc>
          <w:tcPr>
            <w:tcW w:type="dxa" w:w="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bCs/>
                <w:color w:val="145A32"/>
                <w:sz w:val="17"/>
                <w:szCs w:val="17"/>
              </w:rPr>
              <w:t xml:space="preserve">CCP2</w:t>
            </w:r>
          </w:p>
        </w:tc>
        <w:tc>
          <w:tcPr>
            <w:tcW w:type="dxa" w:w="3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left"/>
            </w:pPr>
            <w:r>
              <w:rPr>
                <w:rFonts w:ascii="Arial" w:cs="Arial" w:eastAsia="Arial" w:hAnsi="Arial"/>
                <w:b w:val="false"/>
                <w:bCs w:val="false"/>
                <w:color w:val="145A32"/>
                <w:sz w:val="17"/>
                <w:szCs w:val="17"/>
              </w:rPr>
              <w:t xml:space="preserve">Optimiser la gestion de la relation client</w:t>
            </w:r>
          </w:p>
        </w:tc>
        <w:tc>
          <w:tcPr>
            <w:tcW w:type="dxa" w:w="16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56h</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w:t>
            </w:r>
          </w:p>
        </w:tc>
        <w:tc>
          <w:tcPr>
            <w:tcW w:type="dxa" w:w="12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vAlign w:val="center"/>
          </w:tcPr>
          <w:p>
            <w:pPr>
              <w:jc w:val="center"/>
            </w:pPr>
            <w:r>
              <w:rPr>
                <w:rFonts w:ascii="Arial" w:cs="Arial" w:eastAsia="Arial" w:hAnsi="Arial"/>
                <w:b w:val="false"/>
                <w:bCs w:val="false"/>
                <w:color w:val="145A32"/>
                <w:sz w:val="17"/>
                <w:szCs w:val="17"/>
              </w:rPr>
              <w:t xml:space="preserve">245h CCP2</w:t>
            </w:r>
          </w:p>
        </w:tc>
      </w:tr>
      <w:tr>
        <w:tc>
          <w:tcPr>
            <w:tcW w:type="dxa" w:w="8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center"/>
            </w:pPr>
            <w:r>
              <w:rPr>
                <w:rFonts w:ascii="Arial" w:cs="Arial" w:eastAsia="Arial" w:hAnsi="Arial"/>
                <w:b/>
                <w:bCs/>
                <w:color w:val="0C1E3A"/>
                <w:sz w:val="18"/>
                <w:szCs w:val="18"/>
              </w:rPr>
              <w:t xml:space="preserve">TOTAL</w:t>
            </w:r>
          </w:p>
        </w:tc>
        <w:tc>
          <w:tcPr>
            <w:tcW w:type="dxa" w:w="36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left"/>
            </w:pPr>
            <w:r>
              <w:rPr>
                <w:rFonts w:ascii="Arial" w:cs="Arial" w:eastAsia="Arial" w:hAnsi="Arial"/>
                <w:b/>
                <w:bCs/>
                <w:color w:val="0C1E3A"/>
                <w:sz w:val="18"/>
                <w:szCs w:val="18"/>
              </w:rPr>
              <w:t xml:space="preserve">9 compétences officielles – 2 CCP</w:t>
            </w:r>
          </w:p>
        </w:tc>
        <w:tc>
          <w:tcPr>
            <w:tcW w:type="dxa" w:w="16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center"/>
            </w:pPr>
            <w:r>
              <w:rPr>
                <w:rFonts w:ascii="Arial" w:cs="Arial" w:eastAsia="Arial" w:hAnsi="Arial"/>
                <w:b/>
                <w:bCs/>
                <w:color w:val="0C1E3A"/>
                <w:sz w:val="18"/>
                <w:szCs w:val="18"/>
              </w:rPr>
              <w:t xml:space="preserve">490h</w:t>
            </w:r>
          </w:p>
        </w:tc>
        <w:tc>
          <w:tcPr>
            <w:tcW w:type="dxa" w:w="18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center"/>
            </w:pPr>
            <w:r>
              <w:rPr>
                <w:rFonts w:ascii="Arial" w:cs="Arial" w:eastAsia="Arial" w:hAnsi="Arial"/>
                <w:b/>
                <w:bCs/>
                <w:color w:val="0C1E3A"/>
                <w:sz w:val="18"/>
                <w:szCs w:val="18"/>
              </w:rPr>
              <w:t xml:space="preserve">≥ 350h</w:t>
            </w:r>
          </w:p>
        </w:tc>
        <w:tc>
          <w:tcPr>
            <w:tcW w:type="dxa" w:w="1200"/>
            <w:tcBorders>
              <w:top w:val="single" w:color="CCCCCC" w:sz="1"/>
              <w:left w:val="single" w:color="CCCCCC" w:sz="1"/>
              <w:bottom w:val="single" w:color="CCCCCC" w:sz="1"/>
              <w:right w:val="single" w:color="CCCCCC" w:sz="1"/>
            </w:tcBorders>
            <w:shd w:fill="C9A84C" w:val="clear"/>
            <w:tcMar>
              <w:top w:type="dxa" w:w="80"/>
              <w:left w:type="dxa" w:w="120"/>
              <w:bottom w:type="dxa" w:w="80"/>
              <w:right w:type="dxa" w:w="120"/>
            </w:tcMar>
            <w:vAlign w:val="center"/>
          </w:tcPr>
          <w:p>
            <w:pPr>
              <w:jc w:val="center"/>
            </w:pPr>
            <w:r>
              <w:rPr>
                <w:rFonts w:ascii="Arial" w:cs="Arial" w:eastAsia="Arial" w:hAnsi="Arial"/>
                <w:b/>
                <w:bCs/>
                <w:color w:val="0C1E3A"/>
                <w:sz w:val="18"/>
                <w:szCs w:val="18"/>
              </w:rPr>
              <w:t xml:space="preserve">≥ 840h</w:t>
            </w:r>
          </w:p>
        </w:tc>
      </w:tr>
    </w:tbl>
    <w:p>
      <w:pPr>
        <w:spacing w:after="80" w:before="8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4.2 Méthodes pédagogiques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4500"/>
        <w:gridCol w:w="1500"/>
      </w:tblGrid>
      <w:tr>
        <w:trPr>
          <w:tblHeader/>
        </w:trPr>
        <w:tc>
          <w:tcPr>
            <w:tcW w:type="dxa" w:w="30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Méthode</w:t>
            </w:r>
          </w:p>
        </w:tc>
        <w:tc>
          <w:tcPr>
            <w:tcW w:type="dxa" w:w="45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Description</w:t>
            </w:r>
          </w:p>
        </w:tc>
        <w:tc>
          <w:tcPr>
            <w:tcW w:type="dxa" w:w="1500"/>
            <w:tcBorders>
              <w:top w:val="single" w:color="CCCCCC" w:sz="1"/>
              <w:left w:val="single" w:color="CCCCCC" w:sz="1"/>
              <w:bottom w:val="single" w:color="CCCCCC" w:sz="1"/>
              <w:right w:val="single" w:color="CCCCCC" w:sz="1"/>
            </w:tcBorders>
            <w:shd w:fill="0C1E3A" w:val="clear"/>
            <w:tcMar>
              <w:top w:type="dxa" w:w="80"/>
              <w:left w:type="dxa" w:w="120"/>
              <w:bottom w:type="dxa" w:w="80"/>
              <w:right w:type="dxa" w:w="120"/>
            </w:tcMar>
            <w:vAlign w:val="center"/>
          </w:tcPr>
          <w:p>
            <w:pPr>
              <w:jc w:val="center"/>
            </w:pPr>
            <w:r>
              <w:rPr>
                <w:rFonts w:ascii="Arial" w:cs="Arial" w:eastAsia="Arial" w:hAnsi="Arial"/>
                <w:b/>
                <w:bCs/>
                <w:color w:val="FFFFFF"/>
                <w:sz w:val="17"/>
                <w:szCs w:val="17"/>
              </w:rPr>
              <w:t xml:space="preserve">Part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Apports théoriques</w:t>
            </w:r>
          </w:p>
        </w:tc>
        <w:tc>
          <w:tcPr>
            <w:tcW w:type="dxa" w:w="4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Cours interactifs, supports projetés, fiches mémo compétences</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15 %</w:t>
            </w:r>
          </w:p>
        </w:tc>
      </w:tr>
      <w:tr>
        <w:tc>
          <w:tcPr>
            <w:tcW w:type="dxa" w:w="3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Études de cas / mises en situation</w:t>
            </w:r>
          </w:p>
        </w:tc>
        <w:tc>
          <w:tcPr>
            <w:tcW w:type="dxa" w:w="45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Cas d'entreprises BtoB réels ou fictifs, conformes au format MSP du RE (étude de cas + tableau de bord + proposition)</w:t>
            </w:r>
          </w:p>
        </w:tc>
        <w:tc>
          <w:tcPr>
            <w:tcW w:type="dxa" w:w="15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Jeux de rôle enregistrés</w:t>
            </w:r>
          </w:p>
        </w:tc>
        <w:tc>
          <w:tcPr>
            <w:tcW w:type="dxa" w:w="4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Simulations de prospection téléphonique, entretien de négociation face à face, débrief vidéo. Format conforme à la MSP orale du RE</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30 %</w:t>
            </w:r>
          </w:p>
        </w:tc>
      </w:tr>
      <w:tr>
        <w:tc>
          <w:tcPr>
            <w:tcW w:type="dxa" w:w="30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Travaux pratiques</w:t>
            </w:r>
          </w:p>
        </w:tc>
        <w:tc>
          <w:tcPr>
            <w:tcW w:type="dxa" w:w="45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CRM (HubSpot/Salesforce), LinkedIn, Excel/Power BI, rédaction propositions commerciales, analyse SWOT</w:t>
            </w:r>
          </w:p>
        </w:tc>
        <w:tc>
          <w:tcPr>
            <w:tcW w:type="dxa" w:w="1500"/>
            <w:tcBorders>
              <w:top w:val="single" w:color="CCCCCC" w:sz="1"/>
              <w:left w:val="single" w:color="CCCCCC" w:sz="1"/>
              <w:bottom w:val="single" w:color="CCCCCC" w:sz="1"/>
              <w:right w:val="single" w:color="CCCCCC" w:sz="1"/>
            </w:tcBorders>
            <w:shd w:fill="F2F4F7"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20 %</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2C3E50"/>
                <w:sz w:val="16"/>
                <w:szCs w:val="16"/>
              </w:rPr>
              <w:t xml:space="preserve">Entraînements aux épreuves</w:t>
            </w:r>
          </w:p>
        </w:tc>
        <w:tc>
          <w:tcPr>
            <w:tcW w:type="dxa" w:w="4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MSP blanches (écrit + oral), entretien technique SWOT, questionnement à partir de productions. Feedback écrit sous 5 jours</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2C3E50"/>
                <w:sz w:val="16"/>
                <w:szCs w:val="16"/>
              </w:rPr>
              <w:t xml:space="preserve">5 %</w:t>
            </w:r>
          </w:p>
        </w:tc>
      </w:tr>
    </w:tbl>
    <w:p>
      <w:pPr>
        <w:spacing w:after="80" w:before="80"/>
      </w:pPr>
      <w:r>
        <w:rPr>
          <w:rFonts w:ascii="Arial" w:cs="Arial" w:eastAsia="Arial" w:hAnsi="Arial"/>
          <w:b w:val="false"/>
          <w:bCs w:val="false"/>
          <w:color w:val="2C3E50"/>
          <w:sz w:val="20"/>
          <w:szCs w:val="20"/>
        </w:rPr>
        <w:t xml:space="preserve"/>
      </w:r>
    </w:p>
    <w:p>
      <w:pPr>
        <w:pStyle w:val="Heading2"/>
        <w:pBdr>
          <w:bottom w:val="single" w:color="C9A84C" w:sz="6" w:space="2"/>
        </w:pBdr>
        <w:spacing w:after="120" w:before="280"/>
      </w:pPr>
      <w:r>
        <w:rPr>
          <w:rFonts w:ascii="Arial" w:cs="Arial" w:eastAsia="Arial" w:hAnsi="Arial"/>
          <w:b/>
          <w:bCs/>
          <w:color w:val="0C1E3A"/>
          <w:sz w:val="22"/>
          <w:szCs w:val="22"/>
        </w:rPr>
        <w:t xml:space="preserve">▌  4.3 Suivi pédagogique et Qualiopi</w:t>
      </w:r>
    </w:p>
    <w:p>
      <w:pPr>
        <w:pStyle w:val="ListParagraph"/>
        <w:numPr>
          <w:ilvl w:val="0"/>
          <w:numId w:val="2"/>
        </w:numPr>
        <w:spacing w:after="40" w:before="40"/>
      </w:pPr>
      <w:r>
        <w:rPr>
          <w:rFonts w:ascii="Arial" w:cs="Arial" w:eastAsia="Arial" w:hAnsi="Arial"/>
          <w:b w:val="false"/>
          <w:bCs w:val="false"/>
          <w:color w:val="2C3E50"/>
          <w:sz w:val="20"/>
          <w:szCs w:val="20"/>
        </w:rPr>
        <w:t xml:space="preserve">Livret d'apprentissage numérique : renseigné conjointement par l'apprenti, le formateur référent et le maître d'apprentissage</w:t>
      </w:r>
    </w:p>
    <w:p>
      <w:pPr>
        <w:pStyle w:val="ListParagraph"/>
        <w:numPr>
          <w:ilvl w:val="0"/>
          <w:numId w:val="2"/>
        </w:numPr>
        <w:spacing w:after="40" w:before="40"/>
      </w:pPr>
      <w:r>
        <w:rPr>
          <w:rFonts w:ascii="Arial" w:cs="Arial" w:eastAsia="Arial" w:hAnsi="Arial"/>
          <w:b w:val="false"/>
          <w:bCs w:val="false"/>
          <w:color w:val="2C3E50"/>
          <w:sz w:val="20"/>
          <w:szCs w:val="20"/>
        </w:rPr>
        <w:t xml:space="preserve">Réunion triadique trimestrielle : apprenti + formateur + maître d'apprentissage en entreprise</w:t>
      </w:r>
    </w:p>
    <w:p>
      <w:pPr>
        <w:pStyle w:val="ListParagraph"/>
        <w:numPr>
          <w:ilvl w:val="0"/>
          <w:numId w:val="2"/>
        </w:numPr>
        <w:spacing w:after="40" w:before="40"/>
      </w:pPr>
      <w:r>
        <w:rPr>
          <w:rFonts w:ascii="Arial" w:cs="Arial" w:eastAsia="Arial" w:hAnsi="Arial"/>
          <w:b w:val="false"/>
          <w:bCs w:val="false"/>
          <w:color w:val="2C3E50"/>
          <w:sz w:val="20"/>
          <w:szCs w:val="20"/>
        </w:rPr>
        <w:t xml:space="preserve">Point de mi-parcours (M6) : bilan des compétences acquises, ajustement du parcours individuel</w:t>
      </w:r>
    </w:p>
    <w:p>
      <w:pPr>
        <w:pStyle w:val="ListParagraph"/>
        <w:numPr>
          <w:ilvl w:val="0"/>
          <w:numId w:val="2"/>
        </w:numPr>
        <w:spacing w:after="40" w:before="40"/>
      </w:pPr>
      <w:r>
        <w:rPr>
          <w:rFonts w:ascii="Arial" w:cs="Arial" w:eastAsia="Arial" w:hAnsi="Arial"/>
          <w:b w:val="false"/>
          <w:bCs w:val="false"/>
          <w:color w:val="2C3E50"/>
          <w:sz w:val="20"/>
          <w:szCs w:val="20"/>
        </w:rPr>
        <w:t xml:space="preserve">Évaluations formatives en cours de formation : retour écrit formateur sous 5 jours ouvrés</w:t>
      </w:r>
    </w:p>
    <w:p>
      <w:pPr>
        <w:pStyle w:val="ListParagraph"/>
        <w:numPr>
          <w:ilvl w:val="0"/>
          <w:numId w:val="2"/>
        </w:numPr>
        <w:spacing w:after="40" w:before="40"/>
      </w:pPr>
      <w:r>
        <w:rPr>
          <w:rFonts w:ascii="Arial" w:cs="Arial" w:eastAsia="Arial" w:hAnsi="Arial"/>
          <w:b w:val="false"/>
          <w:bCs w:val="false"/>
          <w:color w:val="2C3E50"/>
          <w:sz w:val="20"/>
          <w:szCs w:val="20"/>
        </w:rPr>
        <w:t xml:space="preserve">Entretien blanc jury complet (M10) : simulation 8h30 avec compte-rendu détaillé et axes de progression</w:t>
      </w:r>
    </w:p>
    <w:p>
      <w:pPr>
        <w:pStyle w:val="ListParagraph"/>
        <w:numPr>
          <w:ilvl w:val="0"/>
          <w:numId w:val="2"/>
        </w:numPr>
        <w:spacing w:after="40" w:before="40"/>
      </w:pPr>
      <w:r>
        <w:rPr>
          <w:rFonts w:ascii="Arial" w:cs="Arial" w:eastAsia="Arial" w:hAnsi="Arial"/>
          <w:b w:val="false"/>
          <w:bCs w:val="false"/>
          <w:color w:val="2C3E50"/>
          <w:sz w:val="20"/>
          <w:szCs w:val="20"/>
        </w:rPr>
        <w:t xml:space="preserve">Attestation de présence en entreprise : vérification des 350h avant présentation au titre</w:t>
      </w:r>
    </w:p>
    <w:p>
      <w:pPr>
        <w:spacing w:after="200" w:before="200"/>
      </w:pPr>
      <w:r>
        <w:rPr>
          <w:rFonts w:ascii="Arial" w:cs="Arial" w:eastAsia="Arial" w:hAnsi="Arial"/>
          <w:b w:val="false"/>
          <w:bCs w:val="false"/>
          <w:color w:val="2C3E50"/>
          <w:sz w:val="20"/>
          <w:szCs w:val="20"/>
        </w:rPr>
        <w:t xml:space="preserve"/>
      </w:r>
    </w:p>
    <w:p>
      <w:pPr>
        <w:jc w:val="center"/>
      </w:pPr>
      <w:r>
        <w:rPr>
          <w:rFonts w:ascii="Arial" w:cs="Arial" w:eastAsia="Arial" w:hAnsi="Arial"/>
          <w:b w:val="false"/>
          <w:bCs w:val="false"/>
          <w:color w:val="AAAAAA"/>
          <w:sz w:val="17"/>
          <w:szCs w:val="17"/>
        </w:rPr>
        <w:t xml:space="preserve">— Fin du programme pédagogique — Institut BIA © 2026 — Conforme RE TP-00338 Millésime 07 —</w:t>
      </w:r>
    </w:p>
    <w:sectPr>
      <w:headerReference w:type="default" r:id="rId7"/>
      <w:footerReference w:type="default" r:id="rId8"/>
      <w:pgSz w:w="11906" w:h="16838" w:orient="portrait"/>
      <w:pgMar w:top="1080" w:right="1000" w:bottom="108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2"/>
      </w:pBdr>
      <w:jc w:val="right"/>
    </w:pPr>
    <w:r>
      <w:rPr>
        <w:rFonts w:ascii="Arial" w:cs="Arial" w:eastAsia="Arial" w:hAnsi="Arial"/>
        <w:b w:val="false"/>
        <w:bCs w:val="false"/>
        <w:color w:val="AAAAAA"/>
        <w:sz w:val="15"/>
        <w:szCs w:val="15"/>
      </w:rPr>
      <w:t xml:space="preserve">Conforme RE TP-00338 millésime 07 – Arrêté 30/04/2024 – Institut BIA 2026   </w:t>
    </w:r>
    <w:r>
      <w:rPr>
        <w:rFonts w:ascii="Arial" w:cs="Arial" w:eastAsia="Arial" w:hAnsi="Arial"/>
        <w:color w:val="0C1E3A"/>
        <w:sz w:val="15"/>
        <w:szCs w:val="15"/>
      </w:rPr>
      <w:fldChar w:fldCharType="begin"/>
      <w:instrText xml:space="preserve">PAGE</w:instrText>
      <w:fldChar w:fldCharType="separate"/>
      <w:fldChar w:fldCharType="end"/>
    </w:r>
    <w:r>
      <w:rPr>
        <w:rFonts w:ascii="Arial" w:cs="Arial" w:eastAsia="Arial" w:hAnsi="Arial"/>
        <w:b w:val="false"/>
        <w:bCs w:val="false"/>
        <w:color w:val="AAAAAA"/>
        <w:sz w:val="15"/>
        <w:szCs w:val="15"/>
      </w:rPr>
      <w:t xml:space="preserve"> / </w:t>
    </w:r>
    <w:r>
      <w:rPr>
        <w:rFonts w:ascii="Arial" w:cs="Arial" w:eastAsia="Arial" w:hAnsi="Arial"/>
        <w:color w:val="0C1E3A"/>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2"/>
      </w:pBdr>
    </w:pPr>
    <w:r>
      <w:rPr>
        <w:rFonts w:ascii="Arial" w:cs="Arial" w:eastAsia="Arial" w:hAnsi="Arial"/>
        <w:b/>
        <w:bCs/>
        <w:color w:val="0C1E3A"/>
        <w:sz w:val="17"/>
        <w:szCs w:val="17"/>
      </w:rPr>
      <w:t xml:space="preserve">INSTITUT BIA</w:t>
    </w:r>
    <w:r>
      <w:rPr>
        <w:rFonts w:ascii="Arial" w:cs="Arial" w:eastAsia="Arial" w:hAnsi="Arial"/>
        <w:b w:val="false"/>
        <w:bCs w:val="false"/>
        <w:color w:val="888888"/>
        <w:sz w:val="16"/>
        <w:szCs w:val="16"/>
      </w:rPr>
      <w:t xml:space="preserve">   |   Programme pédagogique – TP Négociateur Technico-Commercial – RNCP39063 – RE TP-00338 Millésime 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FFFFFF"/>
      <w:sz w:val="27"/>
      <w:szCs w:val="27"/>
    </w:rPr>
  </w:style>
  <w:style w:type="paragraph" w:styleId="Heading2">
    <w:name w:val="Heading 2"/>
    <w:basedOn w:val="Normal"/>
    <w:next w:val="Normal"/>
    <w:qFormat/>
    <w:pPr>
      <w:spacing w:after="120" w:before="280"/>
      <w:outlineLvl w:val="1"/>
    </w:pPr>
    <w:rPr>
      <w:rFonts w:ascii="Arial" w:cs="Arial" w:eastAsia="Arial" w:hAnsi="Arial"/>
      <w:b/>
      <w:bCs/>
      <w:color w:val="0C1E3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2026-04-09T18:06:12.761Z</dcterms:created>
  <dcterms:modified xsi:type="dcterms:W3CDTF">2026-04-09T18:06:12.762Z</dcterms:modified>
</cp:coreProperties>
</file>

<file path=docProps/custom.xml><?xml version="1.0" encoding="utf-8"?>
<Properties xmlns="http://schemas.openxmlformats.org/officeDocument/2006/custom-properties" xmlns:vt="http://schemas.openxmlformats.org/officeDocument/2006/docPropsVTypes"/>
</file>