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C8C"/>
          <w:sz w:val="44"/>
          <w:szCs w:val="44"/>
        </w:rPr>
        <w:t xml:space="preserve">PROGRAMME DE FORMATION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Préparation à la certification Bright Language — FLE</w:t>
      </w:r>
    </w:p>
    <w:p>
      <w:pPr>
        <w:shd w:fill="8B1A1A" w:val="clear"/>
        <w:spacing w:after="60" w:before="60"/>
        <w:jc w:val="center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Format 30 heures — 100 % présentiel avec formateur</w:t>
      </w:r>
    </w:p>
    <w:p>
      <w:pPr>
        <w:spacing w:after="80" w:before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Intitulé officiel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Préparation à la certification Bright Language en Français Langue Étrangère (FLE) — 30 heures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visée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(RS6674) — 5 compétences CECRL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Organisme de formation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NDA : 11922891492 — SIREN : 941681959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Qualiopi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N° CW202509-4210 — valable jusqu'au 08/09/2028 — Actions de Formation &amp; Apprentissage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Durée totale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30 heures — 100 % avec formateur FLE qualifié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 formateur / e-learning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Formateur : 30h (100 %) — E-learning : 0h (0 %)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Niveau(x) cible(s)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Prérequis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Niveau A1 du CECRL — évalué par test de positionnement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Public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Personne en activité professionnelle ou demandeur d'emploi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Effectif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Individuel ou groupe (2 à 12 apprenants)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locaux de l'organisme ou site de l'entreprise cliente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CPF (Mon Compte Formation) — OPCO — Plan de développement des compétences — Financement personnel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1. OBJECTIFS DE LA FORMATION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 général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Permettre à l'apprenant d'atteindre le niveau A2 (minimum) — B1 — B2 du CECRL en développant les 5 compétences évaluées par la certification Bright Language, dans une démarche 100 % présentielle avec formateur qualifié.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Objectifs opérationnels — 5 compétences Bright Language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3600"/>
        <w:gridCol w:w="32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</w:t>
            </w:r>
          </w:p>
        </w:tc>
        <w:tc>
          <w:tcPr>
            <w:tcW w:type="dxa" w:w="3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Capacités visées</w:t>
            </w:r>
          </w:p>
        </w:tc>
        <w:tc>
          <w:tcPr>
            <w:tcW w:type="dxa" w:w="3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 cible CECRL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Identifier informations clés dans documents oraux variés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Participer à échanges adaptés à des situations professionnelles et quotidiennes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Produire un discours structuré et cohérent sur sujets connus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textes variés adaptés au niveau cible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documents écrits adaptés aux situations de communication cibles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2. PUBLIC ET PRÉREQUIS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Public visé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en activité professionnelle souhaitant certifier son niveau de français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Demandeur d'emploi dans le cadre d'un parcours de qualification ou d'insertion professionnelle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souhaitant valoriser ses compétences linguistiques en FLE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Prérequis d'entrée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Niveau A1 du CECRL validé par test de positionnement initial (passage obligatoire avant entrée en formation)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Aucune condition de diplôme, d'âge ou de nationalité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Accessibilité — Personnes en situation de handicap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INTERTEC FORMA adapte ses modalités pédagogiques aux apprenants en situation de handicap. Contacter notre référent handicap avant toute inscription pour étudier les aménagements nécessaires.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3. PROGRAMME DÉTAILLÉ ET CONTENU PÉDAGOGIQUE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Répartition horaire par modalité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246"/>
      </w:tblGrid>
      <w:tr>
        <w:tc>
          <w:tcPr>
            <w:tcW w:type="dxa" w:w="3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formateur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e-learning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3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Présentiel avec formateur FLE qualifié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30h (100 %)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0h (0 %)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30h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Contenu et progression par module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3400"/>
        <w:gridCol w:w="1600"/>
        <w:gridCol w:w="19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2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Module</w:t>
            </w:r>
          </w:p>
        </w:tc>
        <w:tc>
          <w:tcPr>
            <w:tcW w:type="dxa" w:w="3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Contenu détaillé</w:t>
            </w:r>
          </w:p>
        </w:tc>
        <w:tc>
          <w:tcPr>
            <w:tcW w:type="dxa" w:w="1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</w:t>
            </w:r>
          </w:p>
        </w:tc>
        <w:tc>
          <w:tcPr>
            <w:tcW w:type="dxa" w:w="19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Positionnement &amp; cadrage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niveau CECRL — diagnostic approfondi — plan de formation personnalisé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Phonétique &amp; compréhension orale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Articulation, rythme, intonation — écoutes progressives — dictées partielles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 avancée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Documents authentiques (médias, conférences) — compréhension fine — prise de notes structurée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 — niveaux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Jeux de rôles, négociations simples, discussions guidées — gestion des échanges complexes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5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 — niveau B2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Débats, argumentation, maintien de position — spontanéité et aisance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6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 — progression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Exposés structurés, présentations professionnelles — connecteurs logiques — nuance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7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 — niveaux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Articles de presse, notices, documents professionnels — lecture rapide et sélective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8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 — niveau B2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Textes complexes (rapports, essais) — inférences avancées — analyse critique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9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 — niveaux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Rédaction de courriers, comptes rendus, synthèses courtes — cohérence et cohésion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 — niveau B2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Rédaction de rapports, argumentaires — richesse lexicale — registres de langue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2h30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11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Entraînement croisé 5 compétences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Ateliers intégrés — simulations Bright Language — gestion du stress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12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Bilan &amp; simulation finale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 complète Bright Language — correction individualisée — plan de progression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2h30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4. CORRÉLATION AUX NIVEAUX EUROPÉENS DU CECRL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Chaque module est aligné sur les descripteurs du Cadre Européen Commun de Référence pour les Langues (CECRL). Le tableau ci-dessous présente les niveaux travaillés dans ce format de formation.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2200"/>
        <w:gridCol w:w="2200"/>
        <w:gridCol w:w="2246"/>
      </w:tblGrid>
      <w:tr>
        <w:tc>
          <w:tcPr>
            <w:tcW w:type="dxa" w:w="9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écrite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orale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écrite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A2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expressions et informations simples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courts sur sujets prévisibles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Échanger sur sujets familiers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notes et messages courts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B1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points essentiels sur sujets courants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relatifs au travail et loisirs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S'exprimer simplement sur sujets familiers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Écrire textes articulés et simples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B2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conférences et discours complexes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articles et rapports contemporains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Communiquer avec spontanéité et aisance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textes clairs et argumentés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Ce programme format 30 heures couvre les niveaux cibles : A1 → A2, A2 → B1, B1 → B2. La progression est définie lors du positionnement initial selon le niveau d'entrée de l'apprenant.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5. MÉTHODES PÉDAGOGIQUES ET MOYENS MIS EN ŒUVRE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Approche pédagogique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Approche actionnelle conforme au CECRL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Pédagogie active et participative centrée sur la communication authentique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Alternance systématique compréhension / production / interaction sur les 5 compétences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authentiques : extraits audio, vidéos, textes journalistiques, documents professionnels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Correction phonétique et grammaticale individualisée en temps réel par le formateur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Moyens humains et matériels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Formateurs titulaires d'une licence/master FLE ou équivalent, expérimentés en préparation aux certifications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Salles de formation équipées : vidéoprojecteur, tableau blanc interactif, système audio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pédagogiques remis à chaque apprenant (fiches lexicales, exercices, corrigés)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Référentiel de compétences Bright Language intégré à chaque séance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6. ÉVALUATION, SUIVI ET CONFORMITÉ QUALIOPI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Évaluation des acquis — conformité RNQ v9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400"/>
        <w:gridCol w:w="2746"/>
      </w:tblGrid>
      <w:tr>
        <w:tc>
          <w:tcPr>
            <w:tcW w:type="dxa" w:w="2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Moment</w:t>
            </w:r>
          </w:p>
        </w:tc>
        <w:tc>
          <w:tcPr>
            <w:tcW w:type="dxa" w:w="4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d'évaluation</w:t>
            </w:r>
          </w:p>
        </w:tc>
        <w:tc>
          <w:tcPr>
            <w:tcW w:type="dxa" w:w="27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Indicateur Qualiopi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Avant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positionnement CECRL — entretien individuel — identification des objectifs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 — RNQ 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Pendant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Évaluations formatives par module — exercices corrigés — retour formateur systématique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9 — RNQ 11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 fin de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 complète Bright Language — bilan de compétences — recommandation formateur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10 — RNQ 22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Après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Suivi du passage de certification Bright Language — mesure des résultats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24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Documents de suivi (conformité DREETS)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Feuilles de présence émargées par l'apprenant et le formateur à chaque demi-journée (RNQ 11 et 22)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Convention de formation ou contrat de formation professionnelle signés avant entrée en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Programme de formation remis à chaque apprenant avant le démarrage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Livret de suivi individuel des acquis — attestation de fin de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Bilan pédagogique et financier annuel transmis au prestataire compétent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7. SANCTION DE LA FORMATION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À l'issue du parcours de formation, l'apprenant est accompagné pour le passage de la certification Bright Language auprès d'un centre d'examen agréé.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— RS6674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Enregistrement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France Compétences — Répertoire Spécifique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 évaluées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5 compétences : CO, CE, EOI, EOC, EE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Niveaux délivrés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De A1 à C2 selon score obtenu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de passage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Examen en centre agréé Bright Language — date à convenir avec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 remis à l'apprenant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Attestation de fin de formation + résultats de la certification Bright Language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8. CONDITIONS D'ACCÈS ET ORGANISATION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Délai d'accès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2 à 4 semaines après positionnement initial et validation de l'inscription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Rythme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Adaptable : intensif (2h/jour) ou extensif (2h/semaine) selon contraintes de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Lieu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 CPF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Éligible CPF — à mobiliser via www.moncompteformation.gouv.fr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Autres financements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OPCO — Plan de développement des compétences — AIF Pôle Emploi — Financement personnel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32 RUE DE PARIS — 92100 BOULOGNE-BILLANCOURT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0" w:before="16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— INTERTEC FORMA — NDA 11922891492 — Qualiopi N° CW202509-4210 — 32 RUE DE PARIS — 92100 BOULOGNE-BILLANCOURT —</w:t>
      </w:r>
    </w:p>
    <w:sectPr>
      <w:headerReference w:type="default" r:id="rId7"/>
      <w:footerReference w:type="default" r:id="rId8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C8E8" w:sz="2" w:space="3"/>
      </w:pBdr>
      <w:spacing w:before="40"/>
    </w:pPr>
    <w:r>
      <w:rPr>
        <w:rFonts w:ascii="Arial" w:cs="Arial" w:eastAsia="Arial" w:hAnsi="Arial"/>
        <w:color w:val="888888"/>
        <w:sz w:val="15"/>
        <w:szCs w:val="15"/>
      </w:rPr>
      <w:t xml:space="preserve">Qualiopi N° CW202509-4210 — valable jusqu'au 08/09/2028 | inscription@brightlanguage.com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C8C" w:sz="4" w:space="3"/>
      </w:pBdr>
      <w:spacing w:after="40"/>
    </w:pPr>
    <w:r>
      <w:rPr>
        <w:rFonts w:ascii="Arial" w:cs="Arial" w:eastAsia="Arial" w:hAnsi="Arial"/>
        <w:b/>
        <w:bCs/>
        <w:color w:val="1F3C8C"/>
        <w:sz w:val="16"/>
        <w:szCs w:val="16"/>
      </w:rPr>
      <w:t xml:space="preserve">INTERTEC FORMA — Bright Language FLE — Format 30 heures — NDA 11922891492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80"/>
      <w:outlineLvl w:val="0"/>
    </w:pPr>
    <w:rPr>
      <w:rFonts w:ascii="Arial" w:cs="Arial" w:eastAsia="Arial" w:hAnsi="Arial"/>
      <w:b/>
      <w:bCs/>
      <w:color w:val="FFFFF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2026-06-10T15:37:36.658Z</dcterms:created>
  <dcterms:modified xsi:type="dcterms:W3CDTF">2026-06-10T15:37:36.658Z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